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widowControl/>
        <w:spacing w:line="500" w:lineRule="exact"/>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lang w:eastAsia="zh-CN"/>
        </w:rPr>
        <w:t>地下水管理条例</w:t>
      </w:r>
    </w:p>
    <w:p>
      <w:pPr>
        <w:widowControl/>
        <w:spacing w:line="500" w:lineRule="exact"/>
        <w:jc w:val="center"/>
        <w:rPr>
          <w:rFonts w:ascii="宋体" w:hAnsi="宋体" w:cs="宋体"/>
          <w:color w:val="333333"/>
          <w:sz w:val="44"/>
          <w:szCs w:val="44"/>
          <w:shd w:val="clear" w:color="auto" w:fill="FFFFFF"/>
        </w:rPr>
      </w:pPr>
    </w:p>
    <w:p>
      <w:pPr>
        <w:pStyle w:val="3"/>
        <w:jc w:val="left"/>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lang w:eastAsia="zh-CN"/>
        </w:rPr>
        <w:t>　　</w:t>
      </w:r>
      <w:r>
        <w:rPr>
          <w:rFonts w:hint="eastAsia" w:ascii="楷体_GB2312" w:hAnsi="楷体_GB2312" w:eastAsia="楷体_GB2312" w:cs="楷体_GB2312"/>
          <w:bCs/>
          <w:sz w:val="32"/>
          <w:szCs w:val="32"/>
          <w:shd w:val="clear" w:color="auto" w:fill="FFFFFF"/>
        </w:rPr>
        <w:t>(</w:t>
      </w:r>
      <w:r>
        <w:rPr>
          <w:rFonts w:hint="eastAsia" w:ascii="楷体_GB2312" w:hAnsi="楷体_GB2312" w:eastAsia="楷体_GB2312" w:cs="楷体_GB2312"/>
          <w:sz w:val="32"/>
          <w:szCs w:val="32"/>
        </w:rPr>
        <w:t>2021年9月15日国务院第149次常务会议通过</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2021年10月21日中华人民共和国国务院令第748号公布</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自2021年12月1日起施行</w:t>
      </w:r>
      <w:r>
        <w:rPr>
          <w:rFonts w:hint="eastAsia" w:ascii="楷体_GB2312" w:hAnsi="楷体_GB2312" w:eastAsia="楷体_GB2312" w:cs="楷体_GB2312"/>
          <w:bCs/>
          <w:sz w:val="32"/>
          <w:szCs w:val="32"/>
          <w:shd w:val="clear" w:color="auto" w:fill="FFFFFF"/>
        </w:rPr>
        <w:t>)</w:t>
      </w:r>
    </w:p>
    <w:p>
      <w:pPr>
        <w:pStyle w:val="3"/>
      </w:pPr>
      <w:r>
        <w:rPr>
          <w:rFonts w:ascii="Times New Roman" w:hAnsi="Times New Roman" w:cs="Times New Roman"/>
        </w:rPr>
        <w:t>第一章　总　　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　</w:t>
      </w:r>
      <w:r>
        <w:rPr>
          <w:rFonts w:hint="eastAsia" w:ascii="仿宋_GB2312" w:hAnsi="仿宋_GB2312" w:eastAsia="仿宋_GB2312" w:cs="仿宋_GB2312"/>
          <w:sz w:val="32"/>
          <w:szCs w:val="32"/>
        </w:rPr>
        <w:t>为了加强地下水管理，防治地下水超采和污染，保障地下水质量和可持续利用，推进生态文明建设，根据《中华人民共和国水法》和《中华人民共和国水污染防治法》等法律，制定本条例。</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　</w:t>
      </w:r>
      <w:r>
        <w:rPr>
          <w:rFonts w:hint="eastAsia" w:ascii="仿宋_GB2312" w:hAnsi="仿宋_GB2312" w:eastAsia="仿宋_GB2312" w:cs="仿宋_GB2312"/>
          <w:sz w:val="32"/>
          <w:szCs w:val="32"/>
        </w:rPr>
        <w:t>地下水调查与规划、节约与保护、超采治理、污染防治、监督管理等活动，适用本条例。</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本条例所称地下水，是指赋存于地表以下的水。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　</w:t>
      </w:r>
      <w:r>
        <w:rPr>
          <w:rFonts w:hint="eastAsia" w:ascii="仿宋_GB2312" w:hAnsi="仿宋_GB2312" w:eastAsia="仿宋_GB2312" w:cs="仿宋_GB2312"/>
          <w:sz w:val="32"/>
          <w:szCs w:val="32"/>
        </w:rPr>
        <w:t>地下水管理坚持统筹规划、节水优先、高效利用、系统治理的原则。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　</w:t>
      </w:r>
      <w:r>
        <w:rPr>
          <w:rFonts w:hint="eastAsia" w:ascii="仿宋_GB2312" w:hAnsi="仿宋_GB2312" w:eastAsia="仿宋_GB2312" w:cs="仿宋_GB2312"/>
          <w:sz w:val="32"/>
          <w:szCs w:val="32"/>
        </w:rPr>
        <w:t>国务院水行政主管部门负责全国地下水统一监督管理工作。国务院生态环境主管部门负责全国地下水污染防治监督管理工作。国务院自然资源等主管部门按照职责分工做好地下水调查、监测等相关工作。</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　</w:t>
      </w:r>
      <w:r>
        <w:rPr>
          <w:rFonts w:hint="eastAsia" w:ascii="仿宋_GB2312" w:hAnsi="仿宋_GB2312" w:eastAsia="仿宋_GB2312" w:cs="仿宋_GB2312"/>
          <w:sz w:val="32"/>
          <w:szCs w:val="32"/>
        </w:rPr>
        <w:t>县级以上地方人民政府对本行政区域内的地下水管理负责，应当将地下水管理纳入本级国民经济和社会发展规划，并采取控制开采量、防治污染等措施，维持地下水合理水位，保护地下水水质。</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　</w:t>
      </w:r>
      <w:r>
        <w:rPr>
          <w:rFonts w:hint="eastAsia" w:ascii="仿宋_GB2312" w:hAnsi="仿宋_GB2312" w:eastAsia="仿宋_GB2312" w:cs="仿宋_GB2312"/>
          <w:sz w:val="32"/>
          <w:szCs w:val="32"/>
        </w:rPr>
        <w:t>利用地下水的单位和个人应当加强地下水取水工程管理，节约、保护地下水，防止地下水污染。</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　</w:t>
      </w:r>
      <w:r>
        <w:rPr>
          <w:rFonts w:hint="eastAsia" w:ascii="仿宋_GB2312" w:hAnsi="仿宋_GB2312" w:eastAsia="仿宋_GB2312" w:cs="仿宋_GB2312"/>
          <w:sz w:val="32"/>
          <w:szCs w:val="32"/>
        </w:rPr>
        <w:t>国务院对省、自治区、直辖市地下水管理和保护情况实行目标责任制和考核评价制度。国务院有关部门按照职责分工负责考核评价工作的具体组织实施。</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　</w:t>
      </w:r>
      <w:r>
        <w:rPr>
          <w:rFonts w:hint="eastAsia" w:ascii="仿宋_GB2312" w:hAnsi="仿宋_GB2312" w:eastAsia="仿宋_GB2312" w:cs="仿宋_GB2312"/>
          <w:sz w:val="32"/>
          <w:szCs w:val="32"/>
        </w:rPr>
        <w:t>任何单位和个人都有权对损害地下水的行为进行监督、检举。</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对在节约、保护和管理地下水工作中作出突出贡献的单位和个人，按照国家有关规定给予表彰和奖励。</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　</w:t>
      </w:r>
      <w:r>
        <w:rPr>
          <w:rFonts w:hint="eastAsia" w:ascii="仿宋_GB2312" w:hAnsi="仿宋_GB2312" w:eastAsia="仿宋_GB2312" w:cs="仿宋_GB2312"/>
          <w:sz w:val="32"/>
          <w:szCs w:val="32"/>
        </w:rPr>
        <w:t>国家加强对地下水节约和保护的宣传教育，鼓励、支持地下水先进科学技术的研究、推广和应用。</w:t>
      </w:r>
    </w:p>
    <w:p>
      <w:pPr>
        <w:pStyle w:val="3"/>
        <w:rPr>
          <w:sz w:val="32"/>
          <w:szCs w:val="32"/>
        </w:rPr>
      </w:pPr>
      <w:r>
        <w:rPr>
          <w:rFonts w:ascii="Times New Roman" w:hAnsi="Times New Roman" w:cs="Times New Roman"/>
          <w:sz w:val="32"/>
          <w:szCs w:val="32"/>
        </w:rPr>
        <w:t>第二章　调查与规划</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　</w:t>
      </w:r>
      <w:r>
        <w:rPr>
          <w:rFonts w:hint="eastAsia" w:ascii="仿宋_GB2312" w:hAnsi="仿宋_GB2312" w:eastAsia="仿宋_GB2312" w:cs="仿宋_GB2312"/>
          <w:sz w:val="32"/>
          <w:szCs w:val="32"/>
        </w:rPr>
        <w:t>国家定期组织开展地下水状况调查评价工作。地下水状况调查评价包括地下水资源调查评价、地下水污染调查评价和水文地质勘查评价等内容。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　</w:t>
      </w:r>
      <w:r>
        <w:rPr>
          <w:rFonts w:hint="eastAsia" w:ascii="仿宋_GB2312" w:hAnsi="仿宋_GB2312" w:eastAsia="仿宋_GB2312" w:cs="仿宋_GB2312"/>
          <w:sz w:val="32"/>
          <w:szCs w:val="32"/>
        </w:rPr>
        <w:t>县级以上人民政府应当组织水行政、自然资源、生态环境等主管部门开展地下水状况调查评价工作。调查评价成果是编制地下水保护利用和污染防治等规划以及管理地下水的重要依据。调查评价成果应当依法向社会公布。</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　</w:t>
      </w:r>
      <w:r>
        <w:rPr>
          <w:rFonts w:hint="eastAsia" w:ascii="仿宋_GB2312" w:hAnsi="仿宋_GB2312" w:eastAsia="仿宋_GB2312" w:cs="仿宋_GB2312"/>
          <w:sz w:val="32"/>
          <w:szCs w:val="32"/>
        </w:rPr>
        <w:t>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地下水保护利用和污染防治等规划是节约、保护、利用、修复治理地下水的基本依据。地下水保护利用和污染防治等规划应当服从水资源综合规划和环境保护规划。</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　</w:t>
      </w:r>
      <w:r>
        <w:rPr>
          <w:rFonts w:hint="eastAsia" w:ascii="仿宋_GB2312" w:hAnsi="仿宋_GB2312" w:eastAsia="仿宋_GB2312" w:cs="仿宋_GB2312"/>
          <w:sz w:val="32"/>
          <w:szCs w:val="32"/>
        </w:rPr>
        <w:t>国民经济和社会发展规划以及国土空间规划等相关规划的编制、重大建设项目的布局，应当与地下水资源条件和地下水保护要求相适应，并进行科学论证。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　</w:t>
      </w:r>
      <w:r>
        <w:rPr>
          <w:rFonts w:hint="eastAsia" w:ascii="仿宋_GB2312" w:hAnsi="仿宋_GB2312" w:eastAsia="仿宋_GB2312" w:cs="仿宋_GB2312"/>
          <w:sz w:val="32"/>
          <w:szCs w:val="32"/>
        </w:rPr>
        <w:t>编制工业、农业、市政、能源、矿产资源开发等专项规划，涉及地下水的内容，应当与地下水保护利用和污染防治等规划相衔接。</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　</w:t>
      </w:r>
      <w:r>
        <w:rPr>
          <w:rFonts w:hint="eastAsia" w:ascii="仿宋_GB2312" w:hAnsi="仿宋_GB2312" w:eastAsia="仿宋_GB2312" w:cs="仿宋_GB2312"/>
          <w:sz w:val="32"/>
          <w:szCs w:val="32"/>
        </w:rPr>
        <w:t>国家建立地下水储备制度。国务院水行政主管部门应当会同国务院自然资源、发展改革等主管部门，对地下水储备工作进行指导、协调和监督检查。</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县级以上地方人民政府水行政主管部门应当会同本级人民政府自然资源、发展改革等主管部门，根据本行政区域内地下水条件、气候状况和水资源储备需要，制定动用地下水储备预案并报本级人民政府批准。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除特殊干旱年份以及发生重大突发事件外，不得动用地下水储备。</w:t>
      </w:r>
    </w:p>
    <w:p>
      <w:pPr>
        <w:pStyle w:val="3"/>
        <w:rPr>
          <w:sz w:val="32"/>
          <w:szCs w:val="32"/>
        </w:rPr>
      </w:pPr>
      <w:r>
        <w:rPr>
          <w:rFonts w:ascii="Times New Roman" w:hAnsi="Times New Roman" w:cs="Times New Roman"/>
          <w:sz w:val="32"/>
          <w:szCs w:val="32"/>
        </w:rPr>
        <w:t>第三章　节约与保护</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　</w:t>
      </w:r>
      <w:r>
        <w:rPr>
          <w:rFonts w:hint="eastAsia" w:ascii="仿宋_GB2312" w:hAnsi="仿宋_GB2312" w:eastAsia="仿宋_GB2312" w:cs="仿宋_GB2312"/>
          <w:sz w:val="32"/>
          <w:szCs w:val="32"/>
        </w:rPr>
        <w:t>国家实行地下水取水总量控制制度。国务院水行政主管部门会同国务院自然资源主管部门，根据各省、自治区、直辖市地下水可开采量和地表水水资源状况，制定并下达各省、自治区、直辖市地下水取水总量控制指标。</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　</w:t>
      </w:r>
      <w:r>
        <w:rPr>
          <w:rFonts w:hint="eastAsia" w:ascii="仿宋_GB2312" w:hAnsi="仿宋_GB2312" w:eastAsia="仿宋_GB2312" w:cs="仿宋_GB2312"/>
          <w:sz w:val="32"/>
          <w:szCs w:val="32"/>
        </w:rPr>
        <w:t>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　</w:t>
      </w:r>
      <w:r>
        <w:rPr>
          <w:rFonts w:hint="eastAsia" w:ascii="仿宋_GB2312" w:hAnsi="仿宋_GB2312" w:eastAsia="仿宋_GB2312" w:cs="仿宋_GB2312"/>
          <w:sz w:val="32"/>
          <w:szCs w:val="32"/>
        </w:rPr>
        <w:t>省、自治区、直辖市人民政府水行政主管部门制定本行政区域内地下水取水总量控制指标和地下水水位控制指标时，涉及省际边界区域且属于同一水文地质单元的，应当与相邻省、自治区、直辖市人民政府水行政主管部门协商确定。协商不成的，由国务院水行政主管部门会同国务院有关部门确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　</w:t>
      </w:r>
      <w:r>
        <w:rPr>
          <w:rFonts w:hint="eastAsia" w:ascii="仿宋_GB2312" w:hAnsi="仿宋_GB2312" w:eastAsia="仿宋_GB2312" w:cs="仿宋_GB2312"/>
          <w:sz w:val="32"/>
          <w:szCs w:val="32"/>
        </w:rPr>
        <w:t>县级以上地方人民政府应当根据地下水取水总量控制指标、地下水水位控制指标和国家相关技术标准，合理确定本行政区域内地下水取水工程布局。</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　</w:t>
      </w:r>
      <w:r>
        <w:rPr>
          <w:rFonts w:hint="eastAsia" w:ascii="仿宋_GB2312" w:hAnsi="仿宋_GB2312" w:eastAsia="仿宋_GB2312" w:cs="仿宋_GB2312"/>
          <w:sz w:val="32"/>
          <w:szCs w:val="32"/>
        </w:rPr>
        <w:t>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　</w:t>
      </w:r>
      <w:r>
        <w:rPr>
          <w:rFonts w:hint="eastAsia" w:ascii="仿宋_GB2312" w:hAnsi="仿宋_GB2312" w:eastAsia="仿宋_GB2312" w:cs="仿宋_GB2312"/>
          <w:sz w:val="32"/>
          <w:szCs w:val="32"/>
        </w:rPr>
        <w:t>取用地下水的单位和个人应当遵守取水总量控制和定额管理要求，使用先进节约用水技术、工艺和设备，采取循环用水、综合利用及废水处理回用等措施，实施技术改造，降低用水消耗。</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对下列工艺、设备和产品，应当在规定的期限内停止生产、销售、进口或者使用：</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(一)列入淘汰落后的、耗水量高的工艺、设备和产品名录的；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(二)列入限期禁止采用的严重污染水环境的工艺名录和限期禁止生产、销售、进口、使用的严重污染水环境的设备名录的。</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　</w:t>
      </w:r>
      <w:r>
        <w:rPr>
          <w:rFonts w:hint="eastAsia" w:ascii="仿宋_GB2312" w:hAnsi="仿宋_GB2312" w:eastAsia="仿宋_GB2312" w:cs="仿宋_GB2312"/>
          <w:sz w:val="32"/>
          <w:szCs w:val="32"/>
        </w:rPr>
        <w:t>新建、改建、扩建地下水取水工程，应当同时安装计量设施。已有地下水取水工程未安装计量设施的，应当按照县级以上地方人民政府水行政主管部门规定的期限安装。</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　</w:t>
      </w:r>
      <w:r>
        <w:rPr>
          <w:rFonts w:hint="eastAsia" w:ascii="仿宋_GB2312" w:hAnsi="仿宋_GB2312" w:eastAsia="仿宋_GB2312" w:cs="仿宋_GB2312"/>
          <w:sz w:val="32"/>
          <w:szCs w:val="32"/>
        </w:rPr>
        <w:t>以地下水为灌溉水源的地区，县级以上地方人民政府应当采取保障建设投入、加大对企业信贷支持力度、建立健全基层水利服务体系等措施，鼓励发展节水农业，推广应用喷灌、微灌、管道输水灌溉、渠道防渗输水灌溉等节水灌溉技术，以及先进的农机、农艺和生物技术等，提高农业用水效率，节约农业用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　</w:t>
      </w:r>
      <w:r>
        <w:rPr>
          <w:rFonts w:hint="eastAsia" w:ascii="仿宋_GB2312" w:hAnsi="仿宋_GB2312" w:eastAsia="仿宋_GB2312" w:cs="仿宋_GB2312"/>
          <w:sz w:val="32"/>
          <w:szCs w:val="32"/>
        </w:rPr>
        <w:t>国务院根据国民经济和社会发展需要，对取用地下水的单位和个人试点征收水资源税。地下水水资源税根据当地地下水资源状况、取用水类型和经济发展等情况实行差别税率，合理提高征收标准。征收水资源税的，停止征收水资源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试点征收水资源税的省、自治区、直辖市，对同一类型取用水，地下水的水资源费征收标准应当高于地表水的标准，地下水超采区的水资源费征收标准应当高于非超采区的标准，地下水严重超采区的水资源费征收标准应当大幅高于非超采区的标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　</w:t>
      </w:r>
      <w:r>
        <w:rPr>
          <w:rFonts w:hint="eastAsia" w:ascii="仿宋_GB2312" w:hAnsi="仿宋_GB2312" w:eastAsia="仿宋_GB2312" w:cs="仿宋_GB2312"/>
          <w:sz w:val="32"/>
          <w:szCs w:val="32"/>
        </w:rPr>
        <w:t>有下列情形之一的，对取用地下水的取水许可申请不予批准：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(一)不符合地下水取水总量控制、地下水水位控制要求；</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(二)不符合限制开采区取用水规定；</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(三)不符合行业用水定额和节水规定；</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(四)不符合强制性国家标准；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(五)水资源紧缺或者生态脆弱地区新建、改建、扩建高耗水项目；</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(六)违反法律、法规的规定开垦种植而取用地下水。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　</w:t>
      </w:r>
      <w:r>
        <w:rPr>
          <w:rFonts w:hint="eastAsia" w:ascii="仿宋_GB2312" w:hAnsi="仿宋_GB2312" w:eastAsia="仿宋_GB2312" w:cs="仿宋_GB2312"/>
          <w:sz w:val="32"/>
          <w:szCs w:val="32"/>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　</w:t>
      </w:r>
      <w:r>
        <w:rPr>
          <w:rFonts w:hint="eastAsia" w:ascii="仿宋_GB2312" w:hAnsi="仿宋_GB2312" w:eastAsia="仿宋_GB2312" w:cs="仿宋_GB2312"/>
          <w:sz w:val="32"/>
          <w:szCs w:val="32"/>
        </w:rPr>
        <w:t>除下列情形外，禁止开采难以更新的地下水：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(一)应急供水取水；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(二)无替代水源地区的居民生活用水；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(三)为开展地下水监测、勘探、试验少量取水。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已经开采的，除前款规定的情形外，有关县级以上地方人民政府应当采取禁止开采、限制开采措施，逐步实现全面禁止开采；前款规定的情形消除后，应当立即停止取用地下水。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第二十八条　</w:t>
      </w:r>
      <w:r>
        <w:rPr>
          <w:rFonts w:hint="eastAsia" w:ascii="仿宋_GB2312" w:hAnsi="仿宋_GB2312" w:eastAsia="仿宋_GB2312" w:cs="仿宋_GB2312"/>
          <w:sz w:val="32"/>
          <w:szCs w:val="32"/>
        </w:rPr>
        <w:t>县级以上地方人民政府应当加强地下水水源补给保护，充分利用自然条件补充地下水，有效涵养地下水水源。</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城市人民政府应当因地制宜采取有效措施，推广节水型生活用水器具，鼓励使用再生水，提高用水效率。</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第二十九条　</w:t>
      </w:r>
      <w:r>
        <w:rPr>
          <w:rFonts w:hint="eastAsia" w:ascii="仿宋_GB2312" w:hAnsi="仿宋_GB2312" w:eastAsia="仿宋_GB2312" w:cs="仿宋_GB2312"/>
          <w:sz w:val="32"/>
          <w:szCs w:val="32"/>
        </w:rPr>
        <w:t>县级以上地方人民政府应当根据地下水水源条件和需要，建设应急备用饮用水水源，制定应急预案，确保需要时正常使用。</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应急备用地下水水源结束应急使用后，应当立即停止取水。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第三十条　</w:t>
      </w:r>
      <w:r>
        <w:rPr>
          <w:rFonts w:hint="eastAsia" w:ascii="仿宋_GB2312" w:hAnsi="仿宋_GB2312" w:eastAsia="仿宋_GB2312" w:cs="仿宋_GB2312"/>
          <w:sz w:val="32"/>
          <w:szCs w:val="32"/>
        </w:rPr>
        <w:t>有关县级以上地方人民政府水行政主管部门会同本级人民政府有关部门编制重要泉域保护方案，明确保护范围、保护措施，报本级人民政府批准后实施。</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对已经干涸但具有重要历史文化和生态价值的泉域，具备条件的，应当采取措施予以恢复。</w:t>
      </w:r>
    </w:p>
    <w:p>
      <w:pPr>
        <w:pStyle w:val="3"/>
        <w:rPr>
          <w:sz w:val="32"/>
          <w:szCs w:val="32"/>
        </w:rPr>
      </w:pPr>
      <w:r>
        <w:rPr>
          <w:rFonts w:ascii="Times New Roman" w:hAnsi="Times New Roman" w:cs="Times New Roman"/>
          <w:sz w:val="32"/>
          <w:szCs w:val="32"/>
        </w:rPr>
        <w:t>第四章　超 采 治 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第三十一条　</w:t>
      </w:r>
      <w:r>
        <w:rPr>
          <w:rFonts w:hint="eastAsia" w:ascii="仿宋_GB2312" w:hAnsi="仿宋_GB2312" w:eastAsia="仿宋_GB2312" w:cs="仿宋_GB2312"/>
          <w:sz w:val="32"/>
          <w:szCs w:val="32"/>
        </w:rPr>
        <w:t>国务院水行政主管部门应当会同国务院自然资源主管部门根据地下水状况调查评价成果，组织划定全国地下水超采区，并依法向社会公布。</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第三十二条　</w:t>
      </w:r>
      <w:r>
        <w:rPr>
          <w:rFonts w:hint="eastAsia" w:ascii="仿宋_GB2312" w:hAnsi="仿宋_GB2312" w:eastAsia="仿宋_GB2312" w:cs="仿宋_GB2312"/>
          <w:sz w:val="32"/>
          <w:szCs w:val="32"/>
        </w:rPr>
        <w:t>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地下水禁止开采区、限制开采区划定后，确需调整的，应当按照原划定程序进行调整。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第三十三条　</w:t>
      </w:r>
      <w:r>
        <w:rPr>
          <w:rFonts w:hint="eastAsia" w:ascii="仿宋_GB2312" w:hAnsi="仿宋_GB2312" w:eastAsia="仿宋_GB2312" w:cs="仿宋_GB2312"/>
          <w:sz w:val="32"/>
          <w:szCs w:val="32"/>
        </w:rPr>
        <w:t>有下列情形之一的，应当划为地下水禁止开采区：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(一)已发生严重的地面沉降、地裂缝、海(咸)水入侵、植被退化等地质灾害或者生态损害的区域；</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(二)地下水超采区内公共供水管网覆盖或者通过替代水源已经解决供水需求的区域；</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(三)法律、法规规定禁止开采地下水的其他区域。</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第三十四条　</w:t>
      </w:r>
      <w:r>
        <w:rPr>
          <w:rFonts w:hint="eastAsia" w:ascii="仿宋_GB2312" w:hAnsi="仿宋_GB2312" w:eastAsia="仿宋_GB2312" w:cs="仿宋_GB2312"/>
          <w:sz w:val="32"/>
          <w:szCs w:val="32"/>
        </w:rPr>
        <w:t>有下列情形之一的，应当划为地下水限制开采区：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(一)地下水开采量接近可开采量的区域；</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(二)开采地下水可能引发地质灾害或者生态损害的区域；</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(三)法律、法规规定限制开采地下水的其他区域。</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第三十五条　</w:t>
      </w:r>
      <w:r>
        <w:rPr>
          <w:rFonts w:hint="eastAsia" w:ascii="仿宋_GB2312" w:hAnsi="仿宋_GB2312" w:eastAsia="仿宋_GB2312" w:cs="仿宋_GB2312"/>
          <w:sz w:val="32"/>
          <w:szCs w:val="32"/>
        </w:rPr>
        <w:t>除下列情形外，在地下水禁止开采区内禁止取用地下水：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(一)为保障地下工程施工安全和生产安全必须进行临时应急取(排)水；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(二)为消除对公共安全或者公共利益的危害临时应急取水；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(三)为开展地下水监测、勘探、试验少量取水。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除前款规定的情形外，在地下水限制开采区内禁止新增取用地下水，并逐步削减地下水取水量；前款规定的情形消除后，应当立即停止取用地下水。</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第三十六条　</w:t>
      </w:r>
      <w:r>
        <w:rPr>
          <w:rFonts w:hint="eastAsia" w:ascii="仿宋_GB2312" w:hAnsi="仿宋_GB2312" w:eastAsia="仿宋_GB2312" w:cs="仿宋_GB2312"/>
          <w:sz w:val="32"/>
          <w:szCs w:val="32"/>
        </w:rPr>
        <w:t>省、自治区、直辖市人民政府水行政主管部门应当会同本级人民政府有关部门，编制本行政区域地下水超采综合治理方案，经省、自治区、直辖市人民政府批准后，报国务院水行政主管部门备案。</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地下水超采综合治理方案应当明确治理目标、治理措施、保障措施等内容。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第三十七条　</w:t>
      </w:r>
      <w:r>
        <w:rPr>
          <w:rFonts w:hint="eastAsia" w:ascii="仿宋_GB2312" w:hAnsi="仿宋_GB2312" w:eastAsia="仿宋_GB2312" w:cs="仿宋_GB2312"/>
          <w:sz w:val="32"/>
          <w:szCs w:val="32"/>
        </w:rPr>
        <w:t>地下水超采区的县级以上地方人民政府应当加强节水型社会建设，通过加大海绵城市建设力度、调整种植结构、推广节水农业、加强工业节水、实施河湖地下水回补等措施，逐步实现地下水采补平衡。</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国家在替代水源供给、公共供水管网建设、产业结构调整等方面，加大对地下水超采区地方人民政府的支持力度。</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第三十八条　</w:t>
      </w:r>
      <w:r>
        <w:rPr>
          <w:rFonts w:hint="eastAsia" w:ascii="仿宋_GB2312" w:hAnsi="仿宋_GB2312" w:eastAsia="仿宋_GB2312" w:cs="仿宋_GB2312"/>
          <w:sz w:val="32"/>
          <w:szCs w:val="32"/>
        </w:rPr>
        <w:t>有关县级以上地方人民政府水行政主管部门应当会同本级人民政府自然资源主管部门加强对海(咸)水入侵的监测和预防。已经出现海(咸)水入侵的地区，应当采取综合治理措施。</w:t>
      </w:r>
    </w:p>
    <w:p>
      <w:pPr>
        <w:pStyle w:val="3"/>
        <w:rPr>
          <w:sz w:val="32"/>
          <w:szCs w:val="32"/>
        </w:rPr>
      </w:pPr>
      <w:r>
        <w:rPr>
          <w:rFonts w:ascii="Times New Roman" w:hAnsi="Times New Roman" w:cs="Times New Roman"/>
          <w:sz w:val="32"/>
          <w:szCs w:val="32"/>
        </w:rPr>
        <w:t>第五章　污 染 防 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第三十九条　</w:t>
      </w:r>
      <w:r>
        <w:rPr>
          <w:rFonts w:hint="eastAsia" w:ascii="仿宋_GB2312" w:hAnsi="仿宋_GB2312" w:eastAsia="仿宋_GB2312" w:cs="仿宋_GB2312"/>
          <w:sz w:val="32"/>
          <w:szCs w:val="32"/>
        </w:rPr>
        <w:t>国务院生态环境主管部门应当会同国务院水行政、自然资源等主管部门，指导全国地下水污染防治重点区划定工作。省、自治区、直辖市人民政府生态环境主管部门应当会同本级人民政府水行政、自然资源等主管部门，根据本行政区域内地下水污染防治需要，划定地下水污染防治重点区。</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第四十条　</w:t>
      </w:r>
      <w:r>
        <w:rPr>
          <w:rFonts w:hint="eastAsia" w:ascii="仿宋_GB2312" w:hAnsi="仿宋_GB2312" w:eastAsia="仿宋_GB2312" w:cs="仿宋_GB2312"/>
          <w:sz w:val="32"/>
          <w:szCs w:val="32"/>
        </w:rPr>
        <w:t>禁止下列污染或者可能污染地下水的行为：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(一)利用渗井、渗坑、裂隙、溶洞以及私设暗管等逃避监管的方式排放水污染物；</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(二)利用岩层孔隙、裂隙、溶洞、废弃矿坑等贮存石化原料及产品、农药、危险废物、城镇污水处理设施产生的污泥和处理后的污泥或者其他有毒有害物质；</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(三)利用无防渗漏措施的沟渠、坑塘等输送或者贮存含有毒污染物的废水、含病原体的污水和其他废弃物；</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(四)法律、法规禁止的其他污染或者可能污染地下水的行为。</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第四十一条　</w:t>
      </w:r>
      <w:r>
        <w:rPr>
          <w:rFonts w:hint="eastAsia" w:ascii="仿宋_GB2312" w:hAnsi="仿宋_GB2312" w:eastAsia="仿宋_GB2312" w:cs="仿宋_GB2312"/>
          <w:sz w:val="32"/>
          <w:szCs w:val="32"/>
        </w:rPr>
        <w:t>企业事业单位和其他生产经营者应当采取下列措施，防止地下水污染：</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(一)兴建地下工程设施或者进行地下勘探、采矿等活动，依法编制的环境影响评价文件中，应当包括地下水污染防治的内容，并采取防护性措施；</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(二)化学品生产企业以及工业集聚区、矿山开采区、尾矿库、危险废物处置场、垃圾填埋场等的运营、管理单位，应当采取防渗漏等措施，并建设地下水水质监测井进行监测；</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(三)加油站等的地下油罐应当使用双层罐或者采取建造防渗池等其他有效措施，并进行防渗漏监测；</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(四)存放可溶性剧毒废渣的场所，应当采取防水、防渗漏、防流失的措施；</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(五)法律、法规规定应当采取的其他防止地下水污染的措施。</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前款第二项规定的企业事业单位和其他生产经营者排放有毒有害物质情况，地方人民政府生态环境主管部门应当按照国务院生态环境主管部门的规定，商有关部门确定并公布地下水污染防治重点排污单位名录。地下水污染防治重点排污单位应当依法安装水污染物排放自动监测设备，与生态环境主管部门的监控设备联网，并保证监测设备正常运行。</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第四十二条　</w:t>
      </w:r>
      <w:r>
        <w:rPr>
          <w:rFonts w:hint="eastAsia" w:ascii="仿宋_GB2312" w:hAnsi="仿宋_GB2312" w:eastAsia="仿宋_GB2312" w:cs="仿宋_GB2312"/>
          <w:sz w:val="32"/>
          <w:szCs w:val="32"/>
        </w:rPr>
        <w:t>在泉域保护范围以及岩溶强发育、存在较多落水洞和岩溶漏斗的区域内，不得新建、改建、扩建可能造成地下水污染的建设项目。</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第四十三条　</w:t>
      </w:r>
      <w:r>
        <w:rPr>
          <w:rFonts w:hint="eastAsia" w:ascii="仿宋_GB2312" w:hAnsi="仿宋_GB2312" w:eastAsia="仿宋_GB2312" w:cs="仿宋_GB2312"/>
          <w:sz w:val="32"/>
          <w:szCs w:val="32"/>
        </w:rPr>
        <w:t>多层含水层开采、回灌地下水应当防止串层污染。</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多层地下水的含水层水质差异大的，应当分层开采；对已受污染的潜水和承压水，不得混合开采。</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已经造成地下水串层污染的，应当按照封填井技术要求限期回填串层开采井，并对造成的地下水污染进行治理和修复。</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人工回灌补给地下水，应当符合相关的水质标准，不得使地下水水质恶化。</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第四十四条　</w:t>
      </w:r>
      <w:r>
        <w:rPr>
          <w:rFonts w:hint="eastAsia" w:ascii="仿宋_GB2312" w:hAnsi="仿宋_GB2312" w:eastAsia="仿宋_GB2312" w:cs="仿宋_GB2312"/>
          <w:sz w:val="32"/>
          <w:szCs w:val="32"/>
        </w:rPr>
        <w:t>农业生产经营者等有关单位和个人应当科学、合理使用农药、肥料等农业投入品，农田灌溉用水应当符合相关水质标准，防止地下水污染。</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县级以上地方人民政府及其有关部门应当加强农药、肥料等农业投入品使用指导和技术服务，鼓励和引导农业生产经营者等有关单位和个人合理使用农药、肥料等农业投入品，防止地下水污染。</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第四十五条　</w:t>
      </w:r>
      <w:r>
        <w:rPr>
          <w:rFonts w:hint="eastAsia" w:ascii="仿宋_GB2312" w:hAnsi="仿宋_GB2312" w:eastAsia="仿宋_GB2312" w:cs="仿宋_GB2312"/>
          <w:sz w:val="32"/>
          <w:szCs w:val="32"/>
        </w:rPr>
        <w:t>依照《中华人民共和国土壤污染防治法》的有关规定，安全利用类和严格管控类农用地地块的土壤污染影响或者可能影响地下水安全的，制定防治污染的方案时，应当包括地下水污染防治的内容。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含量超过土壤污染风险管控标准的建设用地地块，编制土壤污染风险评估报告时，应当包括地下水是否受到污染的内容；列入风险管控和修复名录的建设用地地块，采取的风险管控措施中应当包括地下水污染防治的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对需要实施修复的农用地地块，以及列入风险管控和修复名录的建设用地地块，修复方案中应当包括地下水污染防治的内容。</w:t>
      </w:r>
    </w:p>
    <w:p>
      <w:pPr>
        <w:pStyle w:val="3"/>
        <w:rPr>
          <w:sz w:val="32"/>
          <w:szCs w:val="32"/>
        </w:rPr>
      </w:pPr>
      <w:r>
        <w:rPr>
          <w:rFonts w:ascii="Times New Roman" w:hAnsi="Times New Roman" w:cs="Times New Roman"/>
          <w:sz w:val="32"/>
          <w:szCs w:val="32"/>
        </w:rPr>
        <w:t>第六章　监 督 管 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第四十六条　</w:t>
      </w:r>
      <w:r>
        <w:rPr>
          <w:rFonts w:hint="eastAsia" w:ascii="仿宋_GB2312" w:hAnsi="仿宋_GB2312" w:eastAsia="仿宋_GB2312" w:cs="仿宋_GB2312"/>
          <w:sz w:val="32"/>
          <w:szCs w:val="32"/>
        </w:rPr>
        <w:t>县级以上人民政府水行政、自然资源、生态环境等主管部门应当依照职责加强监督管理，完善协作配合机制。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国务院水行政、自然资源、生态环境等主管部门建立统一的国家地下水监测站网和地下水监测信息共享机制，对地下水进行动态监测。</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县级以上地方人民政府水行政、自然资源、生态环境等主管部门根据需要完善地下水监测工作体系，加强地下水监测。</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第四十七条　</w:t>
      </w:r>
      <w:r>
        <w:rPr>
          <w:rFonts w:hint="eastAsia" w:ascii="仿宋_GB2312" w:hAnsi="仿宋_GB2312" w:eastAsia="仿宋_GB2312" w:cs="仿宋_GB2312"/>
          <w:sz w:val="32"/>
          <w:szCs w:val="32"/>
        </w:rPr>
        <w:t>任何单位和个人不得侵占、毁坏或者擅自移动地下水监测设施设备及其标志。</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建设工程应当避开地下水监测设施设备；确实无法避开、需要拆除地下水监测设施设备的，应当由县级以上人民政府水行政、自然资源、生态环境等主管部门按照有关技术要求组织迁建，迁建费用由建设单位承担。</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任何单位和个人不得篡改、伪造地下水监测数据。</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第四十八条　</w:t>
      </w:r>
      <w:r>
        <w:rPr>
          <w:rFonts w:hint="eastAsia" w:ascii="仿宋_GB2312" w:hAnsi="仿宋_GB2312" w:eastAsia="仿宋_GB2312" w:cs="仿宋_GB2312"/>
          <w:sz w:val="32"/>
          <w:szCs w:val="32"/>
        </w:rPr>
        <w:t>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以监测、勘探为目的的地下水取水工程，不需要申请取水许可，建设单位应当于施工前报有管辖权的水行政主管部门备案。</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地下水取水工程的所有权人负责工程的安全管理。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第四十九条　</w:t>
      </w:r>
      <w:r>
        <w:rPr>
          <w:rFonts w:hint="eastAsia" w:ascii="仿宋_GB2312" w:hAnsi="仿宋_GB2312" w:eastAsia="仿宋_GB2312" w:cs="仿宋_GB2312"/>
          <w:sz w:val="32"/>
          <w:szCs w:val="32"/>
        </w:rPr>
        <w:t>县级以上地方人民政府水行政主管部门应当对本行政区域内的地下水取水工程登记造册，建立监督管理制度。</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实施封井或者回填，应当符合国家有关技术标准。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第五十条　</w:t>
      </w:r>
      <w:r>
        <w:rPr>
          <w:rFonts w:hint="eastAsia" w:ascii="仿宋_GB2312" w:hAnsi="仿宋_GB2312" w:eastAsia="仿宋_GB2312" w:cs="仿宋_GB2312"/>
          <w:sz w:val="32"/>
          <w:szCs w:val="32"/>
        </w:rPr>
        <w:t>县级以上地方人民政府应当组织水行政、自然资源、生态环境等主管部门，划定集中式地下水饮用水水源地并公布名录，定期组织开展地下水饮用水水源地安全评估。</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第五十一条　</w:t>
      </w:r>
      <w:r>
        <w:rPr>
          <w:rFonts w:hint="eastAsia" w:ascii="仿宋_GB2312" w:hAnsi="仿宋_GB2312" w:eastAsia="仿宋_GB2312" w:cs="仿宋_GB2312"/>
          <w:sz w:val="32"/>
          <w:szCs w:val="32"/>
        </w:rPr>
        <w:t>县级以上地方人民政府水行政主管部门应当会同本级人民政府自然资源等主管部门，根据水文地质条件和地下水保护要求，划定需要取水的地热能开发利用项目的禁止和限制取水范围。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禁止在集中式地下水饮用水水源地建设需要取水的地热能开发利用项目。禁止抽取难以更新的地下水用于需要取水的地热能开发利用项目。</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对不符合本条第一款、第二款、第三款规定的已建需要取水的地热能开发利用项目，取水单位和个人应当按照水行政主管部门的规定限期整改，整改不合格的，予以关闭。</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第五十二条　</w:t>
      </w:r>
      <w:r>
        <w:rPr>
          <w:rFonts w:hint="eastAsia" w:ascii="仿宋_GB2312" w:hAnsi="仿宋_GB2312" w:eastAsia="仿宋_GB2312" w:cs="仿宋_GB2312"/>
          <w:sz w:val="32"/>
          <w:szCs w:val="32"/>
        </w:rPr>
        <w:t>矿产资源开采、地下工程建设疏干排水量达到规模的，应当依法申请取水许可，安装排水计量设施，定期向取水许可审批机关报送疏干排水量和地下水水位状况。疏干排水量规模由省、自治区、直辖市人民政府制定、公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矿井等地下工程施工安全和生产安全必须进行临时应急取(排)水的，不需要申请取水许可。取(排)水单位和个人应当于临时应急取(排)水结束后5个工作日内，向有管理权限的县级以上地方人民政府水行政主管部门备案。</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矿产资源开采、地下工程建设疏干排水应当优先利用，无法利用的应当达标排放。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第五十三条　</w:t>
      </w:r>
      <w:r>
        <w:rPr>
          <w:rFonts w:hint="eastAsia" w:ascii="仿宋_GB2312" w:hAnsi="仿宋_GB2312" w:eastAsia="仿宋_GB2312" w:cs="仿宋_GB2312"/>
          <w:sz w:val="32"/>
          <w:szCs w:val="32"/>
        </w:rPr>
        <w:t>县级以上人民政府水行政、生态环境等主管部门应当建立从事地下水节约、保护、利用活动的单位和个人的诚信档案，记录日常监督检查结果、违法行为查处等情况，并依法向社会公示。</w:t>
      </w:r>
    </w:p>
    <w:p>
      <w:pPr>
        <w:pStyle w:val="3"/>
        <w:rPr>
          <w:sz w:val="32"/>
          <w:szCs w:val="32"/>
        </w:rPr>
      </w:pPr>
      <w:r>
        <w:rPr>
          <w:rFonts w:ascii="Times New Roman" w:hAnsi="Times New Roman" w:cs="Times New Roman"/>
          <w:sz w:val="32"/>
          <w:szCs w:val="32"/>
        </w:rPr>
        <w:t>第七章　法 律 责 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第五十四条　</w:t>
      </w:r>
      <w:r>
        <w:rPr>
          <w:rFonts w:hint="eastAsia" w:ascii="仿宋_GB2312" w:hAnsi="仿宋_GB2312" w:eastAsia="仿宋_GB2312" w:cs="仿宋_GB2312"/>
          <w:sz w:val="32"/>
          <w:szCs w:val="32"/>
        </w:rPr>
        <w:t>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(一)未采取有效措施导致本行政区域内地下水超采范围扩大，或者地下水污染状况未得到改善甚至恶化；</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(二)未完成本行政区域内地下水取水总量控制指标和地下水水位控制指标；</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(三)对地下水水位低于控制水位未采取相关措施；</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(四)发现违法行为或者接到对违法行为的检举后未予查处；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(五)有其他滥用职权、玩忽职守、徇私舞弊等违法行为。</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第五十五条　</w:t>
      </w:r>
      <w:r>
        <w:rPr>
          <w:rFonts w:hint="eastAsia" w:ascii="仿宋_GB2312" w:hAnsi="仿宋_GB2312" w:eastAsia="仿宋_GB2312" w:cs="仿宋_GB2312"/>
          <w:sz w:val="32"/>
          <w:szCs w:val="32"/>
        </w:rPr>
        <w:t>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第五十六条　</w:t>
      </w:r>
      <w:r>
        <w:rPr>
          <w:rFonts w:hint="eastAsia" w:ascii="仿宋_GB2312" w:hAnsi="仿宋_GB2312" w:eastAsia="仿宋_GB2312" w:cs="仿宋_GB2312"/>
          <w:sz w:val="32"/>
          <w:szCs w:val="32"/>
        </w:rPr>
        <w:t>地下水取水工程未安装计量设施的，由县级以上地方人民政府水行政主管部门责令限期安装，并按照日最大取水能力计算的取水量计征相关费用，处10万元以上50万元以下罚款；情节严重的，吊销取水许可证。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第五十七条　</w:t>
      </w:r>
      <w:r>
        <w:rPr>
          <w:rFonts w:hint="eastAsia" w:ascii="仿宋_GB2312" w:hAnsi="仿宋_GB2312" w:eastAsia="仿宋_GB2312" w:cs="仿宋_GB2312"/>
          <w:sz w:val="32"/>
          <w:szCs w:val="32"/>
        </w:rPr>
        <w:t>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第五十八条　</w:t>
      </w:r>
      <w:r>
        <w:rPr>
          <w:rFonts w:hint="eastAsia" w:ascii="仿宋_GB2312" w:hAnsi="仿宋_GB2312" w:eastAsia="仿宋_GB2312" w:cs="仿宋_GB2312"/>
          <w:sz w:val="32"/>
          <w:szCs w:val="32"/>
        </w:rPr>
        <w:t>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第五十九条　</w:t>
      </w:r>
      <w:r>
        <w:rPr>
          <w:rFonts w:hint="eastAsia" w:ascii="仿宋_GB2312" w:hAnsi="仿宋_GB2312" w:eastAsia="仿宋_GB2312" w:cs="仿宋_GB2312"/>
          <w:sz w:val="32"/>
          <w:szCs w:val="32"/>
        </w:rPr>
        <w:t>利用岩层孔隙、裂隙、溶洞、废弃矿坑等贮存石化原料及产品、农药、危险废物或者其他有毒有害物质的，由地方人民政府生态环境主管部门责令限期改正，处10万元以上100万元以下罚款。</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在泉域保护范围以及岩溶强发育、存在较多落水洞和岩溶漏斗的区域内，新建、改建、扩建造成地下水污染的建设项目的，由地方人民政府生态环境主管部门</w:t>
      </w:r>
      <w:bookmarkStart w:id="0" w:name="_GoBack"/>
      <w:bookmarkEnd w:id="0"/>
      <w:r>
        <w:rPr>
          <w:rFonts w:hint="eastAsia" w:ascii="仿宋_GB2312" w:hAnsi="仿宋_GB2312" w:eastAsia="仿宋_GB2312" w:cs="仿宋_GB2312"/>
          <w:sz w:val="32"/>
          <w:szCs w:val="32"/>
        </w:rPr>
        <w:t>处10万元以上50万元以下罚款，并报经有批准权的人民政府批准，责令拆除或者关闭。</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第六十条　</w:t>
      </w:r>
      <w:r>
        <w:rPr>
          <w:rFonts w:hint="eastAsia" w:ascii="仿宋_GB2312" w:hAnsi="仿宋_GB2312" w:eastAsia="仿宋_GB2312" w:cs="仿宋_GB2312"/>
          <w:sz w:val="32"/>
          <w:szCs w:val="32"/>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第六十一条　</w:t>
      </w:r>
      <w:r>
        <w:rPr>
          <w:rFonts w:hint="eastAsia" w:ascii="仿宋_GB2312" w:hAnsi="仿宋_GB2312" w:eastAsia="仿宋_GB2312" w:cs="仿宋_GB2312"/>
          <w:sz w:val="32"/>
          <w:szCs w:val="32"/>
        </w:rPr>
        <w:t>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第六十二条　</w:t>
      </w:r>
      <w:r>
        <w:rPr>
          <w:rFonts w:hint="eastAsia" w:ascii="仿宋_GB2312" w:hAnsi="仿宋_GB2312" w:eastAsia="仿宋_GB2312" w:cs="仿宋_GB2312"/>
          <w:sz w:val="32"/>
          <w:szCs w:val="32"/>
        </w:rPr>
        <w:t>违反本条例规定，构成违反治安管理行为的，由公安机关依法给予治安管理处罚；构成犯罪的，依法追究刑事责任。</w:t>
      </w:r>
    </w:p>
    <w:p>
      <w:pPr>
        <w:pStyle w:val="3"/>
        <w:rPr>
          <w:sz w:val="32"/>
          <w:szCs w:val="32"/>
        </w:rPr>
      </w:pPr>
      <w:r>
        <w:rPr>
          <w:rFonts w:ascii="Times New Roman" w:hAnsi="Times New Roman" w:cs="Times New Roman"/>
          <w:sz w:val="32"/>
          <w:szCs w:val="32"/>
        </w:rPr>
        <w:t>第八章　附　　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第六十三条　</w:t>
      </w:r>
      <w:r>
        <w:rPr>
          <w:rFonts w:hint="eastAsia" w:ascii="仿宋_GB2312" w:hAnsi="仿宋_GB2312" w:eastAsia="仿宋_GB2312" w:cs="仿宋_GB2312"/>
          <w:sz w:val="32"/>
          <w:szCs w:val="32"/>
        </w:rPr>
        <w:t>本条例下列用语含义是：</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地下水取水工程，是指地下水取水井及其配套设施，包括水井、集水廊道、集水池、渗渠、注水井以及需要取水的地热能开发利用项目的取水井和回灌井等。</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地下水超采区，是指地下水实际开采量超过可开采量，引起地下水水位持续下降、引发生态损害和地质灾害的区域。</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难以更新的地下水，是指与大气降水和地表水体没有密切水力联系，无法补给或者补给非常缓慢的地下水。</w:t>
      </w:r>
    </w:p>
    <w:p>
      <w:pPr>
        <w:pStyle w:val="11"/>
        <w:ind w:firstLine="640" w:firstLineChars="200"/>
        <w:jc w:val="left"/>
        <w:rPr>
          <w:rFonts w:hint="eastAsia" w:ascii="楷体_GB2312" w:hAnsi="楷体_GB2312" w:eastAsia="楷体_GB2312" w:cs="楷体_GB2312"/>
          <w:bCs/>
          <w:sz w:val="32"/>
          <w:szCs w:val="32"/>
          <w:shd w:val="clear" w:color="auto" w:fill="FFFFFF"/>
        </w:rPr>
      </w:pPr>
      <w:r>
        <w:rPr>
          <w:rFonts w:hint="eastAsia" w:ascii="方正黑体_GBK" w:hAnsi="方正黑体_GBK" w:eastAsia="方正黑体_GBK" w:cs="方正黑体_GBK"/>
          <w:sz w:val="32"/>
          <w:szCs w:val="32"/>
        </w:rPr>
        <w:t>第六十四条　</w:t>
      </w:r>
      <w:r>
        <w:rPr>
          <w:rFonts w:hint="eastAsia" w:ascii="仿宋_GB2312" w:hAnsi="仿宋_GB2312" w:eastAsia="仿宋_GB2312" w:cs="仿宋_GB2312"/>
          <w:sz w:val="32"/>
          <w:szCs w:val="32"/>
        </w:rPr>
        <w:t>本条例自2021年12月1日起施行。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综艺体繁">
    <w:panose1 w:val="02010609000101010101"/>
    <w:charset w:val="86"/>
    <w:family w:val="auto"/>
    <w:pitch w:val="default"/>
    <w:sig w:usb0="00000001" w:usb1="080E0800" w:usb2="00000002"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等线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真广标">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正中黑简体">
    <w:panose1 w:val="02000000000000000000"/>
    <w:charset w:val="86"/>
    <w:family w:val="auto"/>
    <w:pitch w:val="default"/>
    <w:sig w:usb0="00000001" w:usb1="08000000" w:usb2="00000000" w:usb3="00000000" w:csb0="00040000" w:csb1="00000000"/>
  </w:font>
  <w:font w:name="方正正准黑_GBK">
    <w:panose1 w:val="02000000000000000000"/>
    <w:charset w:val="86"/>
    <w:family w:val="auto"/>
    <w:pitch w:val="default"/>
    <w:sig w:usb0="A00002BF" w:usb1="38CF7CFA" w:usb2="00000016" w:usb3="00000000" w:csb0="00040001" w:csb1="00000000"/>
  </w:font>
  <w:font w:name="方正正纤黑_GBK">
    <w:panose1 w:val="02000000000000000000"/>
    <w:charset w:val="86"/>
    <w:family w:val="auto"/>
    <w:pitch w:val="default"/>
    <w:sig w:usb0="A00002BF" w:usb1="38CF7CFA" w:usb2="00000016" w:usb3="00000000" w:csb0="00040001" w:csb1="00000000"/>
  </w:font>
  <w:font w:name="方正幼线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hideSpellingErrors/>
  <w:hideGrammatical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454"/>
    <w:rsid w:val="02D3568D"/>
    <w:rsid w:val="03356D16"/>
    <w:rsid w:val="03985ADA"/>
    <w:rsid w:val="039F0CBD"/>
    <w:rsid w:val="03C9760A"/>
    <w:rsid w:val="04401145"/>
    <w:rsid w:val="051529ED"/>
    <w:rsid w:val="058213F7"/>
    <w:rsid w:val="06A0228E"/>
    <w:rsid w:val="06E72AA9"/>
    <w:rsid w:val="07405EF4"/>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BE2E9F"/>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51898"/>
    <w:rsid w:val="388D0D28"/>
    <w:rsid w:val="39C71577"/>
    <w:rsid w:val="3A7915E5"/>
    <w:rsid w:val="3B1265AF"/>
    <w:rsid w:val="3B596812"/>
    <w:rsid w:val="3BA0652C"/>
    <w:rsid w:val="3C372D12"/>
    <w:rsid w:val="3CA23060"/>
    <w:rsid w:val="3CAF6F9F"/>
    <w:rsid w:val="3CDF39C7"/>
    <w:rsid w:val="3D762392"/>
    <w:rsid w:val="3DFC6899"/>
    <w:rsid w:val="3E3675FB"/>
    <w:rsid w:val="3EEC1919"/>
    <w:rsid w:val="3F2F1CF1"/>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95A7C"/>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575403"/>
    <w:rsid w:val="5F88093C"/>
    <w:rsid w:val="5FDB251D"/>
    <w:rsid w:val="60492E1B"/>
    <w:rsid w:val="60FB7125"/>
    <w:rsid w:val="61152047"/>
    <w:rsid w:val="61BA4E90"/>
    <w:rsid w:val="620467BA"/>
    <w:rsid w:val="622D2BEC"/>
    <w:rsid w:val="62F60DE0"/>
    <w:rsid w:val="63DD0DD3"/>
    <w:rsid w:val="640D2936"/>
    <w:rsid w:val="641F5EE8"/>
    <w:rsid w:val="649C0E8F"/>
    <w:rsid w:val="65152017"/>
    <w:rsid w:val="65532802"/>
    <w:rsid w:val="65BF6566"/>
    <w:rsid w:val="665D25F4"/>
    <w:rsid w:val="66E50FB1"/>
    <w:rsid w:val="674048E2"/>
    <w:rsid w:val="67D71794"/>
    <w:rsid w:val="67DE6474"/>
    <w:rsid w:val="68426F20"/>
    <w:rsid w:val="68715924"/>
    <w:rsid w:val="6A403C00"/>
    <w:rsid w:val="6B4C7D1B"/>
    <w:rsid w:val="6BC16491"/>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semiHidden/>
    <w:unhideWhenUsed/>
    <w:qFormat/>
    <w:uiPriority w:val="99"/>
    <w:rPr>
      <w:vertAlign w:val="superscript"/>
    </w:rPr>
  </w:style>
  <w:style w:type="character" w:customStyle="1" w:styleId="22">
    <w:name w:val="纯文本 Char"/>
    <w:basedOn w:val="20"/>
    <w:link w:val="11"/>
    <w:qFormat/>
    <w:uiPriority w:val="99"/>
    <w:rPr>
      <w:rFonts w:ascii="宋体" w:hAnsi="Courier New" w:eastAsia="宋体" w:cs="Courier New"/>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eastAsia="黑体" w:asciiTheme="minorHAnsi" w:hAnsiTheme="minorHAnsi"/>
      <w:bCs/>
      <w:kern w:val="44"/>
      <w:sz w:val="32"/>
      <w:szCs w:val="44"/>
    </w:rPr>
  </w:style>
  <w:style w:type="character" w:customStyle="1" w:styleId="26">
    <w:name w:val="标题 2 Char"/>
    <w:basedOn w:val="20"/>
    <w:link w:val="3"/>
    <w:semiHidden/>
    <w:qFormat/>
    <w:uiPriority w:val="9"/>
    <w:rPr>
      <w:rFonts w:eastAsia="方正黑体_GBK" w:asciiTheme="majorHAnsi" w:hAnsiTheme="majorHAnsi" w:cstheme="majorBidi"/>
      <w:bCs/>
      <w:sz w:val="32"/>
      <w:szCs w:val="32"/>
    </w:rPr>
  </w:style>
  <w:style w:type="character" w:customStyle="1" w:styleId="27">
    <w:name w:val="标题 3 Char"/>
    <w:basedOn w:val="20"/>
    <w:link w:val="4"/>
    <w:semiHidden/>
    <w:qFormat/>
    <w:uiPriority w:val="9"/>
    <w:rPr>
      <w:rFonts w:eastAsia="方正楷体_GBK" w:asciiTheme="minorHAnsi" w:hAnsiTheme="minorHAnsi"/>
      <w:b/>
      <w:bCs/>
      <w:sz w:val="32"/>
      <w:szCs w:val="32"/>
    </w:rPr>
  </w:style>
  <w:style w:type="character" w:customStyle="1" w:styleId="28">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20"/>
    <w:link w:val="6"/>
    <w:semiHidden/>
    <w:qFormat/>
    <w:uiPriority w:val="9"/>
    <w:rPr>
      <w:b/>
      <w:bCs/>
      <w:sz w:val="28"/>
      <w:szCs w:val="28"/>
    </w:rPr>
  </w:style>
  <w:style w:type="character" w:customStyle="1" w:styleId="30">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20"/>
    <w:link w:val="8"/>
    <w:semiHidden/>
    <w:qFormat/>
    <w:uiPriority w:val="9"/>
    <w:rPr>
      <w:b/>
      <w:bCs/>
      <w:sz w:val="24"/>
      <w:szCs w:val="24"/>
    </w:rPr>
  </w:style>
  <w:style w:type="character" w:customStyle="1" w:styleId="32">
    <w:name w:val="标题 8 Char"/>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Char"/>
    <w:basedOn w:val="20"/>
    <w:link w:val="12"/>
    <w:semiHidden/>
    <w:qFormat/>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Char"/>
    <w:basedOn w:val="20"/>
    <w:link w:val="10"/>
    <w:qFormat/>
    <w:uiPriority w:val="99"/>
    <w:rPr>
      <w:rFonts w:ascii="Times New Roman" w:hAnsi="Times New Roman" w:eastAsia="宋体" w:cs="Times New Roman"/>
      <w:kern w:val="2"/>
      <w:sz w:val="21"/>
      <w:szCs w:val="21"/>
    </w:rPr>
  </w:style>
  <w:style w:type="character" w:customStyle="1" w:styleId="36">
    <w:name w:val="标题 Char"/>
    <w:basedOn w:val="20"/>
    <w:link w:val="17"/>
    <w:qFormat/>
    <w:uiPriority w:val="0"/>
    <w:rPr>
      <w:rFonts w:hint="default" w:ascii="Cambria" w:hAnsi="Cambria" w:eastAsia="宋体" w:cs="Cambria"/>
      <w:b/>
      <w:kern w:val="2"/>
      <w:sz w:val="32"/>
      <w:szCs w:val="32"/>
    </w:rPr>
  </w:style>
  <w:style w:type="character" w:customStyle="1" w:styleId="37">
    <w:name w:val="页脚 Char1"/>
    <w:basedOn w:val="20"/>
    <w:link w:val="13"/>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08D9E-12ED-4CC7-9D4C-4B248BA000A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1460</Words>
  <Characters>8323</Characters>
  <Lines>69</Lines>
  <Paragraphs>19</Paragraphs>
  <TotalTime>3</TotalTime>
  <ScaleCrop>false</ScaleCrop>
  <LinksUpToDate>false</LinksUpToDate>
  <CharactersWithSpaces>9764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2021-11-15T01:34:32Z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AAC7F7B6F5494A41BADB80700CA67999</vt:lpwstr>
  </property>
</Properties>
</file>