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仿宋_GB2312" w:hAnsi="仿宋_GB2312" w:eastAsia="仿宋_GB2312" w:cs="仿宋_GB2312"/>
          <w:sz w:val="32"/>
          <w:szCs w:val="32"/>
          <w:lang w:val="en"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rPr>
          <w:rFonts w:hint="eastAsia" w:ascii="仿宋_GB2312" w:hAnsi="仿宋_GB2312" w:eastAsia="仿宋_GB2312" w:cs="仿宋_GB2312"/>
          <w:sz w:val="32"/>
          <w:szCs w:val="32"/>
          <w:lang w:val="en"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rPr>
          <w:rFonts w:hint="eastAsia" w:ascii="仿宋_GB2312" w:hAnsi="仿宋_GB2312" w:eastAsia="仿宋_GB2312" w:cs="仿宋_GB2312"/>
          <w:sz w:val="32"/>
          <w:szCs w:val="32"/>
          <w:lang w:val="en"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rPr>
          <w:rFonts w:hint="eastAsia" w:ascii="仿宋_GB2312" w:hAnsi="仿宋_GB2312" w:eastAsia="仿宋_GB2312" w:cs="仿宋_GB2312"/>
          <w:sz w:val="32"/>
          <w:szCs w:val="32"/>
          <w:lang w:val="en"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rPr>
          <w:rFonts w:hint="eastAsia"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新</w:t>
      </w:r>
      <w:r>
        <w:rPr>
          <w:rFonts w:hint="default" w:ascii="仿宋_GB2312" w:hAnsi="仿宋_GB2312" w:eastAsia="仿宋_GB2312" w:cs="仿宋_GB2312"/>
          <w:sz w:val="32"/>
          <w:szCs w:val="32"/>
          <w:lang w:val="en" w:eastAsia="zh-CN"/>
        </w:rPr>
        <w:t>农〔2022〕19号</w:t>
      </w:r>
    </w:p>
    <w:p>
      <w:pPr>
        <w:pStyle w:val="2"/>
        <w:rPr>
          <w:rFonts w:hint="default" w:ascii="仿宋_GB2312" w:hAnsi="仿宋_GB2312" w:eastAsia="仿宋_GB2312" w:cs="仿宋_GB2312"/>
          <w:sz w:val="32"/>
          <w:szCs w:val="32"/>
          <w:lang w:val="en" w:eastAsia="zh-CN"/>
        </w:rPr>
      </w:pP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Times New Roman"/>
          <w:b w:val="0"/>
          <w:bCs w:val="0"/>
          <w:sz w:val="44"/>
          <w:szCs w:val="44"/>
          <w:lang w:eastAsia="zh-CN"/>
        </w:rPr>
      </w:pP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新乡市</w:t>
      </w:r>
      <w:r>
        <w:rPr>
          <w:rFonts w:hint="eastAsia" w:ascii="方正小标宋简体" w:hAnsi="方正小标宋简体" w:eastAsia="方正小标宋简体" w:cs="方正小标宋简体"/>
          <w:b w:val="0"/>
          <w:bCs w:val="0"/>
          <w:sz w:val="44"/>
          <w:szCs w:val="44"/>
        </w:rPr>
        <w:t>农业农村</w:t>
      </w:r>
      <w:r>
        <w:rPr>
          <w:rFonts w:hint="eastAsia" w:ascii="方正小标宋简体" w:hAnsi="方正小标宋简体" w:eastAsia="方正小标宋简体" w:cs="方正小标宋简体"/>
          <w:b w:val="0"/>
          <w:bCs w:val="0"/>
          <w:sz w:val="44"/>
          <w:szCs w:val="44"/>
          <w:lang w:eastAsia="zh-CN"/>
        </w:rPr>
        <w:t>局</w:t>
      </w:r>
      <w:r>
        <w:rPr>
          <w:rFonts w:hint="eastAsia" w:ascii="方正小标宋简体" w:hAnsi="方正小标宋简体" w:eastAsia="方正小标宋简体" w:cs="方正小标宋简体"/>
          <w:b w:val="0"/>
          <w:bCs w:val="0"/>
          <w:sz w:val="44"/>
          <w:szCs w:val="44"/>
        </w:rPr>
        <w:t>关于印发</w:t>
      </w: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《2022年全</w:t>
      </w:r>
      <w:r>
        <w:rPr>
          <w:rFonts w:hint="eastAsia" w:ascii="方正小标宋简体" w:hAnsi="方正小标宋简体" w:eastAsia="方正小标宋简体" w:cs="方正小标宋简体"/>
          <w:b w:val="0"/>
          <w:bCs w:val="0"/>
          <w:sz w:val="44"/>
          <w:szCs w:val="44"/>
          <w:lang w:eastAsia="zh-CN"/>
        </w:rPr>
        <w:t>市</w:t>
      </w:r>
      <w:r>
        <w:rPr>
          <w:rFonts w:hint="eastAsia" w:ascii="方正小标宋简体" w:hAnsi="方正小标宋简体" w:eastAsia="方正小标宋简体" w:cs="方正小标宋简体"/>
          <w:b w:val="0"/>
          <w:bCs w:val="0"/>
          <w:sz w:val="44"/>
          <w:szCs w:val="44"/>
        </w:rPr>
        <w:t>农业农村工作要点》的通知</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ascii="Times New Roman" w:hAnsi="Times New Roman" w:eastAsia="仿宋"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仿宋_GB2312" w:hAnsi="仿宋_GB2312" w:eastAsia="仿宋_GB2312" w:cs="仿宋_GB2312"/>
          <w:sz w:val="32"/>
          <w:szCs w:val="32"/>
          <w:lang w:val="en" w:eastAsia="zh-CN"/>
        </w:rPr>
      </w:pPr>
      <w:r>
        <w:rPr>
          <w:rFonts w:hint="default" w:ascii="仿宋_GB2312" w:hAnsi="仿宋_GB2312" w:eastAsia="仿宋_GB2312" w:cs="仿宋_GB2312"/>
          <w:sz w:val="32"/>
          <w:szCs w:val="32"/>
          <w:lang w:val="en" w:eastAsia="zh-CN"/>
        </w:rPr>
        <w:t>各</w:t>
      </w:r>
      <w:r>
        <w:rPr>
          <w:rFonts w:hint="eastAsia" w:ascii="仿宋_GB2312" w:hAnsi="仿宋_GB2312" w:eastAsia="仿宋_GB2312" w:cs="仿宋_GB2312"/>
          <w:sz w:val="32"/>
          <w:szCs w:val="32"/>
          <w:lang w:val="en" w:eastAsia="zh-CN"/>
        </w:rPr>
        <w:t>县（市、区）农业农村局，局属各单位</w:t>
      </w:r>
      <w:r>
        <w:rPr>
          <w:rFonts w:hint="default" w:ascii="仿宋_GB2312" w:hAnsi="仿宋_GB2312" w:eastAsia="仿宋_GB2312" w:cs="仿宋_GB231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 w:eastAsia="zh-CN"/>
        </w:rPr>
      </w:pPr>
      <w:r>
        <w:rPr>
          <w:rFonts w:hint="default" w:ascii="仿宋_GB2312" w:hAnsi="仿宋_GB2312" w:eastAsia="仿宋_GB2312" w:cs="仿宋_GB2312"/>
          <w:sz w:val="32"/>
          <w:szCs w:val="32"/>
          <w:lang w:val="en" w:eastAsia="zh-CN"/>
        </w:rPr>
        <w:t>现</w:t>
      </w:r>
      <w:r>
        <w:rPr>
          <w:rFonts w:hint="eastAsia" w:ascii="仿宋_GB2312" w:hAnsi="仿宋_GB2312" w:eastAsia="仿宋_GB2312" w:cs="仿宋_GB2312"/>
          <w:sz w:val="32"/>
          <w:szCs w:val="32"/>
          <w:lang w:val="en" w:eastAsia="zh-CN"/>
        </w:rPr>
        <w:t>将</w:t>
      </w:r>
      <w:r>
        <w:rPr>
          <w:rFonts w:hint="default" w:ascii="仿宋_GB2312" w:hAnsi="仿宋_GB2312" w:eastAsia="仿宋_GB2312" w:cs="仿宋_GB2312"/>
          <w:sz w:val="32"/>
          <w:szCs w:val="32"/>
          <w:lang w:val="en" w:eastAsia="zh-CN"/>
        </w:rPr>
        <w:t>《2022年全</w:t>
      </w:r>
      <w:r>
        <w:rPr>
          <w:rFonts w:hint="eastAsia" w:ascii="仿宋_GB2312" w:hAnsi="仿宋_GB2312" w:eastAsia="仿宋_GB2312" w:cs="仿宋_GB2312"/>
          <w:sz w:val="32"/>
          <w:szCs w:val="32"/>
          <w:lang w:val="en" w:eastAsia="zh-CN"/>
        </w:rPr>
        <w:t>市</w:t>
      </w:r>
      <w:r>
        <w:rPr>
          <w:rFonts w:hint="default" w:ascii="仿宋_GB2312" w:hAnsi="仿宋_GB2312" w:eastAsia="仿宋_GB2312" w:cs="仿宋_GB2312"/>
          <w:sz w:val="32"/>
          <w:szCs w:val="32"/>
          <w:lang w:val="en" w:eastAsia="zh-CN"/>
        </w:rPr>
        <w:t>农业农村工作要点》印发给你们，请认真抓好落实。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 w:eastAsia="zh-CN"/>
        </w:rPr>
      </w:pPr>
    </w:p>
    <w:p>
      <w:pPr>
        <w:pStyle w:val="2"/>
        <w:rPr>
          <w:rFonts w:hint="default"/>
          <w:lang w:val="en"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640" w:firstLineChars="1450"/>
        <w:textAlignment w:val="auto"/>
        <w:rPr>
          <w:rFonts w:hint="default" w:ascii="仿宋_GB2312" w:hAnsi="仿宋_GB2312" w:eastAsia="仿宋_GB2312" w:cs="仿宋_GB2312"/>
          <w:sz w:val="32"/>
          <w:szCs w:val="32"/>
          <w:lang w:val="en" w:eastAsia="zh-CN"/>
        </w:rPr>
      </w:pPr>
      <w:r>
        <w:rPr>
          <w:rFonts w:hint="default" w:ascii="仿宋_GB2312" w:hAnsi="仿宋_GB2312" w:eastAsia="仿宋_GB2312" w:cs="仿宋_GB2312"/>
          <w:sz w:val="32"/>
          <w:szCs w:val="32"/>
          <w:lang w:val="en" w:eastAsia="zh-CN"/>
        </w:rPr>
        <w:t>2022年3月3日</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w:t>
      </w:r>
      <w:r>
        <w:rPr>
          <w:rFonts w:hint="eastAsia" w:ascii="方正小标宋简体" w:eastAsia="方正小标宋简体"/>
          <w:sz w:val="44"/>
          <w:szCs w:val="44"/>
          <w:lang w:eastAsia="zh-CN"/>
        </w:rPr>
        <w:t>全市</w:t>
      </w:r>
      <w:r>
        <w:rPr>
          <w:rFonts w:hint="eastAsia" w:ascii="方正小标宋简体" w:eastAsia="方正小标宋简体"/>
          <w:sz w:val="44"/>
          <w:szCs w:val="44"/>
        </w:rPr>
        <w:t>农业农村工作</w:t>
      </w:r>
      <w:r>
        <w:rPr>
          <w:rFonts w:hint="eastAsia" w:ascii="方正小标宋简体" w:eastAsia="方正小标宋简体"/>
          <w:sz w:val="44"/>
          <w:szCs w:val="44"/>
          <w:lang w:eastAsia="zh-CN"/>
        </w:rPr>
        <w:t>要点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2022年我市农业农村工作</w:t>
      </w:r>
      <w:r>
        <w:rPr>
          <w:rFonts w:hint="eastAsia" w:ascii="楷体_GB2312" w:hAnsi="楷体_GB2312" w:eastAsia="楷体_GB2312" w:cs="楷体_GB2312"/>
          <w:b/>
          <w:bCs/>
          <w:sz w:val="32"/>
          <w:szCs w:val="32"/>
          <w:lang w:val="en" w:eastAsia="zh-CN"/>
        </w:rPr>
        <w:t>总的要求是</w:t>
      </w:r>
      <w:r>
        <w:rPr>
          <w:rFonts w:hint="eastAsia" w:ascii="仿宋_GB2312" w:hAnsi="仿宋_GB2312" w:eastAsia="仿宋_GB2312" w:cs="仿宋_GB2312"/>
          <w:sz w:val="32"/>
          <w:szCs w:val="32"/>
          <w:lang w:val="en" w:eastAsia="zh-CN"/>
        </w:rPr>
        <w:t>：坚持以习近平新时代中国特色社会主义思想为指导，全面贯彻党的十九大和十九届历次全会精神，深入学习贯彻省第</w:t>
      </w:r>
      <w:bookmarkStart w:id="0" w:name="_GoBack"/>
      <w:bookmarkEnd w:id="0"/>
      <w:r>
        <w:rPr>
          <w:rFonts w:hint="eastAsia" w:ascii="仿宋_GB2312" w:hAnsi="仿宋_GB2312" w:eastAsia="仿宋_GB2312" w:cs="仿宋_GB2312"/>
          <w:sz w:val="32"/>
          <w:szCs w:val="32"/>
          <w:lang w:val="en" w:eastAsia="zh-CN"/>
        </w:rPr>
        <w:t>十一次党代会、市第十二次党代会精神，立足新发展阶段、贯彻新发展理念、构建新发展格局，以全面推进乡村振兴战略为总抓手，围绕打造现代农业强市总体目标，守牢保障粮食安全和不发生规模性返贫两条底线，紧盯稳定提升综合产能、发展优势特色产业、打造农业全产业链三项重点，构筑科技创新、基础设施、乡村治理、项目引领四大支撑，坚持项目为王、</w:t>
      </w:r>
      <w:r>
        <w:rPr>
          <w:rFonts w:hint="eastAsia" w:ascii="仿宋_GB2312" w:hAnsi="仿宋_GB2312" w:eastAsia="仿宋_GB2312" w:cs="仿宋_GB2312"/>
          <w:sz w:val="32"/>
          <w:szCs w:val="32"/>
          <w:lang w:val="en-US" w:eastAsia="zh-CN"/>
        </w:rPr>
        <w:t>稳字当头、稳中求进，着力推进粮食生产稳面积提产能、产业发展稳基础提效益、乡村建设稳步伐提质量、农民增收稳势头提后劲。</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 w:eastAsia="zh-CN"/>
        </w:rPr>
        <w:t>总的目标是：</w:t>
      </w:r>
      <w:r>
        <w:rPr>
          <w:rFonts w:hint="eastAsia" w:ascii="仿宋_GB2312" w:hAnsi="仿宋_GB2312" w:eastAsia="仿宋_GB2312" w:cs="仿宋_GB2312"/>
          <w:sz w:val="32"/>
          <w:szCs w:val="32"/>
          <w:lang w:val="en-US" w:eastAsia="zh-CN"/>
        </w:rPr>
        <w:t>到2022年底，实现粮食产能、菜篮子产品供应“双稳定”，农业发展质量、农机装备水平“双提升”，乡村建设、种业发展“双突破”，绿色品牌、农村改革、乡村治理“三跨越”，各单项工作力争进入全省第一方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一、发挥牵头抓总作用，</w:t>
      </w:r>
      <w:r>
        <w:rPr>
          <w:rFonts w:hint="eastAsia" w:ascii="黑体" w:hAnsi="黑体" w:eastAsia="黑体" w:cs="黑体"/>
          <w:sz w:val="32"/>
          <w:szCs w:val="32"/>
        </w:rPr>
        <w:t>统筹推进乡村振兴战略实施</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（一）健全推进机制。</w:t>
      </w:r>
      <w:r>
        <w:rPr>
          <w:rFonts w:hint="eastAsia" w:ascii="仿宋_GB2312" w:hAnsi="仿宋_GB2312" w:eastAsia="仿宋_GB2312" w:cs="仿宋_GB2312"/>
          <w:sz w:val="32"/>
          <w:szCs w:val="32"/>
          <w:lang w:eastAsia="zh-CN"/>
        </w:rPr>
        <w:t>制定市“十四五”乡村振兴和农业农村现代化规划。发挥市委农办牵头作用，督促各县（市、区）成立乡村五大振兴的工作专班，切实加强乡村振兴工作领导。出台符合各地实际的乡村振兴建设行动方案和专项行动方案。</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（二）强化示范引领。</w:t>
      </w:r>
      <w:r>
        <w:rPr>
          <w:rFonts w:hint="eastAsia" w:ascii="仿宋_GB2312" w:hAnsi="仿宋_GB2312" w:eastAsia="仿宋_GB2312" w:cs="仿宋_GB2312"/>
          <w:sz w:val="32"/>
          <w:szCs w:val="32"/>
        </w:rPr>
        <w:t>抓好乡村振兴典型示范培育，围绕“两县十乡（镇）百村”示范工程，突出示范引领，注重典型培育，以点带面、推动全局，有效提升乡村振兴战略组织实施水平。</w:t>
      </w:r>
      <w:r>
        <w:rPr>
          <w:rFonts w:hint="eastAsia" w:ascii="仿宋_GB2312" w:hAnsi="仿宋_GB2312" w:eastAsia="仿宋_GB2312" w:cs="仿宋_GB2312"/>
          <w:sz w:val="32"/>
          <w:szCs w:val="32"/>
          <w:lang w:eastAsia="zh-CN"/>
        </w:rPr>
        <w:t>鼓励示范乡镇、示范村通过整合涉农资金、吸引金融和社会资金参与乡村振兴。</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（三）巩固拓展脱贫攻坚成果。</w:t>
      </w:r>
      <w:r>
        <w:rPr>
          <w:rFonts w:hint="eastAsia" w:ascii="仿宋_GB2312" w:hAnsi="仿宋_GB2312" w:eastAsia="仿宋_GB2312" w:cs="仿宋_GB2312"/>
          <w:sz w:val="32"/>
          <w:szCs w:val="32"/>
          <w:lang w:val="en-US" w:eastAsia="zh-CN"/>
        </w:rPr>
        <w:t>会同有关部门</w:t>
      </w:r>
      <w:r>
        <w:rPr>
          <w:rFonts w:hint="eastAsia" w:ascii="仿宋_GB2312" w:hAnsi="仿宋_GB2312" w:eastAsia="仿宋_GB2312" w:cs="仿宋_GB2312"/>
          <w:sz w:val="32"/>
          <w:szCs w:val="32"/>
        </w:rPr>
        <w:t>实施脱贫地区特色种养业提升行动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加大产业</w:t>
      </w:r>
      <w:r>
        <w:rPr>
          <w:rFonts w:hint="eastAsia" w:ascii="仿宋_GB2312" w:hAnsi="仿宋_GB2312" w:eastAsia="仿宋_GB2312" w:cs="仿宋_GB2312"/>
          <w:sz w:val="32"/>
          <w:szCs w:val="32"/>
          <w:lang w:eastAsia="zh-CN"/>
        </w:rPr>
        <w:t>扶贫</w:t>
      </w:r>
      <w:r>
        <w:rPr>
          <w:rFonts w:hint="eastAsia" w:ascii="仿宋_GB2312" w:hAnsi="仿宋_GB2312" w:eastAsia="仿宋_GB2312" w:cs="仿宋_GB2312"/>
          <w:sz w:val="32"/>
          <w:szCs w:val="32"/>
        </w:rPr>
        <w:t>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促进脱贫地区农产品产销对接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配合开展“万企兴万村”行动，持续增加农民收入。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二、实施综合产能提升行动，做大做强主导产业</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（四）千方百计稳定粮食生产。</w:t>
      </w:r>
      <w:r>
        <w:rPr>
          <w:rFonts w:hint="eastAsia" w:ascii="仿宋_GB2312" w:hAnsi="仿宋_GB2312" w:eastAsia="仿宋_GB2312" w:cs="仿宋_GB2312"/>
          <w:sz w:val="32"/>
          <w:szCs w:val="32"/>
          <w:lang w:val="en-US" w:eastAsia="zh-CN"/>
        </w:rPr>
        <w:t>严格落实粮食安全党政同责要求，</w:t>
      </w:r>
      <w:r>
        <w:rPr>
          <w:rFonts w:hint="eastAsia" w:ascii="仿宋_GB2312" w:hAnsi="仿宋_GB2312" w:eastAsia="仿宋_GB2312" w:cs="仿宋_GB2312"/>
          <w:sz w:val="32"/>
          <w:szCs w:val="32"/>
        </w:rPr>
        <w:t>落实最严格的耕地保护制</w:t>
      </w:r>
      <w:r>
        <w:rPr>
          <w:rFonts w:hint="eastAsia" w:ascii="仿宋_GB2312" w:hAnsi="仿宋_GB2312" w:eastAsia="仿宋_GB2312" w:cs="仿宋_GB2312"/>
          <w:sz w:val="32"/>
          <w:szCs w:val="32"/>
          <w:lang w:eastAsia="zh-CN"/>
        </w:rPr>
        <w:t>度，坚决遏制耕地“非农化”、防止“非粮化”，持续落实“大棚房”问题常态化监控措施，</w:t>
      </w:r>
      <w:r>
        <w:rPr>
          <w:rFonts w:hint="eastAsia" w:ascii="仿宋_GB2312" w:hAnsi="仿宋_GB2312" w:eastAsia="仿宋_GB2312" w:cs="仿宋_GB2312"/>
          <w:sz w:val="32"/>
          <w:szCs w:val="32"/>
          <w:lang w:val="en-US" w:eastAsia="zh-CN"/>
        </w:rPr>
        <w:t>以背水一战的态度、超常超强的力度，坚决打赢保粮食丰收这场硬仗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 w:eastAsia="zh-CN"/>
        </w:rPr>
        <w:t>全市粮食种植面积稳定在1000万亩以上。</w:t>
      </w:r>
      <w:r>
        <w:rPr>
          <w:rFonts w:hint="eastAsia" w:ascii="仿宋_GB2312" w:hAnsi="仿宋_GB2312" w:eastAsia="仿宋_GB2312" w:cs="仿宋_GB2312"/>
          <w:sz w:val="32"/>
          <w:szCs w:val="32"/>
          <w:lang w:eastAsia="zh-CN"/>
        </w:rPr>
        <w:t>抓好粮食生产耕、种、管、收全过程生产管理，积极应对小麦晚播等不利影响，因地因苗落实各项关键措施，选育推广高产、优质、多抗粮食品种，集成推广绿色高产技术模式，开展绿色病虫害防控，推广测土配方施肥技术，落实粮食节约行动方案，狠抓防灾减灾和机收减损，</w:t>
      </w:r>
      <w:r>
        <w:rPr>
          <w:rFonts w:hint="eastAsia" w:ascii="仿宋_GB2312" w:hAnsi="仿宋_GB2312" w:eastAsia="仿宋_GB2312" w:cs="仿宋_GB2312"/>
          <w:sz w:val="32"/>
          <w:szCs w:val="32"/>
          <w:lang w:val="en-US" w:eastAsia="zh-CN"/>
        </w:rPr>
        <w:t>在延津县、辉县市、封丘县、获嘉县、卫辉市、原阳县</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lang w:val="en-US" w:eastAsia="zh-CN"/>
        </w:rPr>
        <w:t>粮食作物绿色高质高效行动创建项目</w:t>
      </w:r>
      <w:r>
        <w:rPr>
          <w:rFonts w:hint="eastAsia" w:ascii="仿宋_GB2312" w:hAnsi="仿宋_GB2312" w:eastAsia="仿宋_GB2312" w:cs="仿宋_GB2312"/>
          <w:sz w:val="32"/>
          <w:szCs w:val="32"/>
          <w:lang w:eastAsia="zh-CN"/>
        </w:rPr>
        <w:t>，创建1个国家级、2个省级粮食作物高产高效示范区。</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扩大大豆生产</w:t>
      </w:r>
      <w:r>
        <w:rPr>
          <w:rFonts w:hint="eastAsia" w:ascii="仿宋_GB2312" w:hAnsi="仿宋_GB2312" w:eastAsia="仿宋_GB2312" w:cs="仿宋_GB2312"/>
          <w:sz w:val="32"/>
          <w:szCs w:val="32"/>
          <w:lang w:eastAsia="zh-CN"/>
        </w:rPr>
        <w:t>，建设获嘉县和新乡县大豆良种繁育基地。探索推广玉米大豆带状复合种植，逐步推动大豆玉米兼容发展。全市</w:t>
      </w:r>
      <w:r>
        <w:rPr>
          <w:rFonts w:hint="eastAsia" w:ascii="仿宋_GB2312" w:hAnsi="仿宋_GB2312" w:eastAsia="仿宋_GB2312" w:cs="仿宋_GB2312"/>
          <w:sz w:val="32"/>
          <w:szCs w:val="32"/>
          <w:lang w:val="en" w:eastAsia="zh-CN"/>
        </w:rPr>
        <w:t>粮食生产能力稳定在9</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 w:eastAsia="zh-CN"/>
        </w:rPr>
        <w:t>亿斤以上。</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（五）推动畜牧业转型升级。</w:t>
      </w:r>
      <w:r>
        <w:rPr>
          <w:rFonts w:hint="eastAsia" w:ascii="仿宋_GB2312" w:hAnsi="仿宋_GB2312" w:eastAsia="仿宋_GB2312" w:cs="仿宋_GB2312"/>
          <w:sz w:val="32"/>
          <w:szCs w:val="32"/>
          <w:lang w:eastAsia="zh-CN"/>
        </w:rPr>
        <w:t>加快</w:t>
      </w:r>
      <w:r>
        <w:rPr>
          <w:rFonts w:hint="eastAsia" w:ascii="仿宋_GB2312" w:hAnsi="仿宋_GB2312" w:eastAsia="仿宋_GB2312" w:cs="仿宋_GB2312"/>
          <w:sz w:val="32"/>
          <w:szCs w:val="32"/>
          <w:lang w:val="en-US" w:eastAsia="zh-CN"/>
        </w:rPr>
        <w:t>牧原集团、卫辉市鑫安养殖公司等养猪场项目，</w:t>
      </w:r>
      <w:r>
        <w:rPr>
          <w:rFonts w:hint="eastAsia" w:ascii="仿宋_GB2312" w:hAnsi="仿宋_GB2312" w:eastAsia="仿宋_GB2312" w:cs="仿宋_GB2312"/>
          <w:sz w:val="32"/>
          <w:szCs w:val="32"/>
        </w:rPr>
        <w:t>完善生猪产能逆周期调控机制，</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长效性支持政策</w:t>
      </w:r>
      <w:r>
        <w:rPr>
          <w:rFonts w:hint="eastAsia" w:ascii="仿宋_GB2312" w:hAnsi="仿宋_GB2312" w:eastAsia="仿宋_GB2312" w:cs="仿宋_GB2312"/>
          <w:sz w:val="32"/>
          <w:szCs w:val="32"/>
          <w:lang w:val="en-US" w:eastAsia="zh-CN"/>
        </w:rPr>
        <w:t>，挂牌建立</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生猪产能调控基地，探索推广集约养殖和智慧养猪新模式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稳固基础生产能力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促进生猪产业持续健康发展。全市能繁母猪存栏稳定在20.5万头左右。积极发展肉牛肉羊奶牛产业，建设优质草畜基地，持续开展品种登记、生产性能测定、基因组测序等基础性工作，加快推广群体遗传改良和精准饲喂、精细饲养技术，谋划实施家庭牧场升级改造、肉牛奶牛标准化规模场建设等项目，</w:t>
      </w:r>
      <w:r>
        <w:rPr>
          <w:rFonts w:hint="eastAsia" w:ascii="仿宋_GB2312" w:hAnsi="仿宋_GB2312" w:eastAsia="仿宋_GB2312" w:cs="仿宋_GB2312"/>
          <w:sz w:val="32"/>
          <w:szCs w:val="32"/>
          <w:lang w:eastAsia="zh-CN"/>
        </w:rPr>
        <w:t>重点推进</w:t>
      </w:r>
      <w:r>
        <w:rPr>
          <w:rFonts w:hint="eastAsia" w:ascii="仿宋_GB2312" w:hAnsi="仿宋_GB2312" w:eastAsia="仿宋_GB2312" w:cs="仿宋_GB2312"/>
          <w:sz w:val="32"/>
          <w:szCs w:val="32"/>
          <w:lang w:val="en-US" w:eastAsia="zh-CN"/>
        </w:rPr>
        <w:t>河南北盛牧业有限公司存栏5000头奶牛项目，</w:t>
      </w:r>
      <w:r>
        <w:rPr>
          <w:rFonts w:hint="eastAsia" w:ascii="仿宋_GB2312" w:hAnsi="仿宋_GB2312" w:eastAsia="仿宋_GB2312" w:cs="仿宋_GB2312"/>
          <w:sz w:val="32"/>
          <w:szCs w:val="32"/>
          <w:lang w:eastAsia="zh-CN"/>
        </w:rPr>
        <w:t>带动建</w:t>
      </w:r>
      <w:r>
        <w:rPr>
          <w:rFonts w:hint="eastAsia" w:ascii="仿宋_GB2312" w:hAnsi="仿宋_GB2312" w:eastAsia="仿宋_GB2312" w:cs="仿宋_GB2312"/>
          <w:sz w:val="32"/>
          <w:szCs w:val="32"/>
          <w:lang w:val="en-US" w:eastAsia="zh-CN"/>
        </w:rPr>
        <w:t>设一批场区布局合理、设施设备先进、产品质量安全可靠的标准化牛场。全市新增奶牛畜位2000个、肉牛畜位500个以上，争创省级畜禽核心育种场。积极实施粮改饲项目，提升全株玉米青贮质量水平，发展优质饲草，建设黄河滩区草业带。加快推进畜牧业规模化，推动规模养殖场设施装备升级，提高大型养殖场智能化、中型养殖场机械化水平。加强种畜禽场管理，规范种畜禽生产经营许可行为，严格证件发放程序，完善现代畜禽良种繁育体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三、实施特色产业升级行动，建设</w:t>
      </w:r>
      <w:r>
        <w:rPr>
          <w:rFonts w:hint="eastAsia" w:ascii="黑体" w:hAnsi="黑体" w:eastAsia="黑体" w:cs="黑体"/>
          <w:sz w:val="32"/>
          <w:szCs w:val="32"/>
          <w:lang w:val="en" w:eastAsia="zh-CN"/>
        </w:rPr>
        <w:t>优势高效产业基地</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（六）重振油料产业。</w:t>
      </w:r>
      <w:r>
        <w:rPr>
          <w:rFonts w:hint="eastAsia" w:ascii="仿宋_GB2312" w:hAnsi="仿宋_GB2312" w:eastAsia="仿宋_GB2312" w:cs="仿宋_GB2312"/>
          <w:sz w:val="32"/>
          <w:szCs w:val="32"/>
          <w:lang w:val="en-US" w:eastAsia="zh-CN"/>
        </w:rPr>
        <w:t>把发展油料生产作为必须完成的重大政治任务，</w:t>
      </w:r>
      <w:r>
        <w:rPr>
          <w:rFonts w:hint="eastAsia" w:ascii="仿宋_GB2312" w:hAnsi="仿宋_GB2312" w:eastAsia="仿宋_GB2312" w:cs="仿宋_GB2312"/>
          <w:sz w:val="32"/>
          <w:szCs w:val="32"/>
          <w:lang w:eastAsia="zh-CN"/>
        </w:rPr>
        <w:t>多油并举，多措并施，扩面积、提产量。依托鲁花集团（延津）产业基地建设，以黄河滩区、黄河故道区为重点，建设优质花生基地。全市优质花生稳定在1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0万亩以上，高油高油酸花生占比50%以上。扩大油菜种植面积，以沿黄滩区为重点积极发展双低油菜种植，推广应用优质高产宜机收品种和配套栽培技术。</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（七）稳定“菜篮子”产品供给。</w:t>
      </w:r>
      <w:r>
        <w:rPr>
          <w:rFonts w:hint="eastAsia" w:ascii="仿宋_GB2312" w:hAnsi="仿宋_GB2312" w:eastAsia="仿宋_GB2312" w:cs="仿宋_GB2312"/>
          <w:sz w:val="32"/>
          <w:szCs w:val="32"/>
          <w:lang w:eastAsia="zh-CN"/>
        </w:rPr>
        <w:t>落实“菜篮子”市长负责制，</w:t>
      </w:r>
      <w:r>
        <w:rPr>
          <w:rFonts w:hint="eastAsia" w:ascii="仿宋_GB2312" w:hAnsi="仿宋_GB2312" w:eastAsia="仿宋_GB2312" w:cs="仿宋_GB2312"/>
          <w:sz w:val="32"/>
          <w:szCs w:val="32"/>
          <w:lang w:val="en-US" w:eastAsia="zh-CN"/>
        </w:rPr>
        <w:t>加强种子、化肥、农药等农资供应，抓好粮食、生猪、蔬菜等重要农产品有效供给，强化市场监测调度，稳定物价，满足市场需求。</w:t>
      </w:r>
      <w:r>
        <w:rPr>
          <w:rFonts w:hint="eastAsia" w:ascii="仿宋_GB2312" w:hAnsi="仿宋_GB2312" w:eastAsia="仿宋_GB2312" w:cs="仿宋_GB2312"/>
          <w:sz w:val="32"/>
          <w:szCs w:val="32"/>
          <w:lang w:eastAsia="zh-CN"/>
        </w:rPr>
        <w:t>持续开展蔬菜绿色高质高效创建，调整优化品种结构，扩大设施种植规模，以封丘县为重点建设优质蔬菜基地，鼓励、引导菜农以市场为导向积极发展蔬菜生产，提高蔬菜产能和均衡供应能力。全市</w:t>
      </w:r>
      <w:r>
        <w:rPr>
          <w:rFonts w:hint="eastAsia" w:ascii="仿宋_GB2312" w:hAnsi="仿宋_GB2312" w:eastAsia="仿宋_GB2312" w:cs="仿宋_GB2312"/>
          <w:sz w:val="32"/>
          <w:szCs w:val="32"/>
          <w:lang w:val="en-US" w:eastAsia="zh-CN"/>
        </w:rPr>
        <w:t>蔬菜种植面积保持70万亩以上。加强农产品仓储保鲜冷链物流设施建设，开展农产品产地冷藏保鲜设施项目需求调查，谋划农产品产地冷藏保鲜项目，推进郑北农副产品冷链物流港二期项目，抓好应急生产保供，</w:t>
      </w:r>
      <w:r>
        <w:rPr>
          <w:rFonts w:hint="eastAsia" w:ascii="仿宋_GB2312" w:hAnsi="仿宋_GB2312" w:eastAsia="仿宋_GB2312" w:cs="仿宋_GB2312"/>
          <w:sz w:val="32"/>
          <w:szCs w:val="32"/>
        </w:rPr>
        <w:t>争创一批国家级农产品产地市场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（八）加快建设特色农产品基地。</w:t>
      </w:r>
      <w:r>
        <w:rPr>
          <w:rFonts w:hint="eastAsia" w:ascii="仿宋_GB2312" w:hAnsi="仿宋_GB2312" w:eastAsia="仿宋_GB2312" w:cs="仿宋_GB2312"/>
          <w:sz w:val="32"/>
          <w:szCs w:val="32"/>
          <w:lang w:val="en-US" w:eastAsia="zh-CN"/>
        </w:rPr>
        <w:t>推动品种培优、品质提升、品牌打造和标准化生产，创建国家级、省级特色农产品优势区。</w:t>
      </w:r>
      <w:r>
        <w:rPr>
          <w:rFonts w:hint="eastAsia" w:ascii="仿宋_GB2312" w:hAnsi="仿宋_GB2312" w:eastAsia="仿宋_GB2312" w:cs="仿宋_GB2312"/>
          <w:sz w:val="32"/>
          <w:szCs w:val="32"/>
        </w:rPr>
        <w:t>依托全省优质小麦基地建设，在延津县、辉县市、长垣市分别建设10万亩优质专用小麦示范区，示范带动全市优质专用小麦面积达到1</w:t>
      </w:r>
      <w:r>
        <w:rPr>
          <w:rFonts w:hint="default" w:ascii="仿宋_GB2312" w:hAnsi="仿宋_GB2312" w:eastAsia="仿宋_GB2312" w:cs="仿宋_GB2312"/>
          <w:sz w:val="32"/>
          <w:szCs w:val="32"/>
          <w:lang w:val="en" w:eastAsia="zh-CN"/>
        </w:rPr>
        <w:t>6</w:t>
      </w:r>
      <w:r>
        <w:rPr>
          <w:rFonts w:hint="eastAsia" w:ascii="仿宋_GB2312" w:hAnsi="仿宋_GB2312" w:eastAsia="仿宋_GB2312" w:cs="仿宋_GB2312"/>
          <w:sz w:val="32"/>
          <w:szCs w:val="32"/>
        </w:rPr>
        <w:t>0万亩以上</w:t>
      </w:r>
      <w:r>
        <w:rPr>
          <w:rFonts w:hint="eastAsia" w:ascii="仿宋_GB2312" w:hAnsi="仿宋_GB2312" w:eastAsia="仿宋_GB2312" w:cs="仿宋_GB2312"/>
          <w:sz w:val="32"/>
          <w:szCs w:val="32"/>
          <w:lang w:eastAsia="zh-CN"/>
        </w:rPr>
        <w:t>，打造全省优质小麦基地示范区。</w:t>
      </w:r>
      <w:r>
        <w:rPr>
          <w:rFonts w:hint="eastAsia" w:ascii="仿宋_GB2312" w:hAnsi="仿宋_GB2312" w:eastAsia="仿宋_GB2312" w:cs="仿宋_GB2312"/>
          <w:sz w:val="32"/>
          <w:szCs w:val="32"/>
          <w:lang w:val="en-US" w:eastAsia="zh-CN"/>
        </w:rPr>
        <w:t>以辉县市为重点建设优质食用菌基地，以北部山区和黄河滩区为重点建设优质林果基地，以获嘉县为重点建设优质花木基地，以卫辉市、辉县市为重点建设优质中药材基地，在辉县市、卫辉市、平原示范区实施经济作物绿色高质高效创建项目，全市特色高效经济作物面积达到260万亩以上。</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（九）稳步发展渔业。</w:t>
      </w:r>
      <w:r>
        <w:rPr>
          <w:rFonts w:hint="eastAsia" w:ascii="仿宋_GB2312" w:hAnsi="仿宋_GB2312" w:eastAsia="仿宋_GB2312" w:cs="仿宋_GB2312"/>
          <w:sz w:val="32"/>
          <w:szCs w:val="32"/>
          <w:lang w:eastAsia="zh-CN"/>
        </w:rPr>
        <w:t>引导各地因地制宜，科学调整养殖品种结构和养殖模式，发展优质黄河鲤鱼、草鱼、鲈鱼、鲫鱼等品种养殖，以及观赏鱼养殖，强化品牌营销，建设优质水产品基地，提高渔业综合效益，促进渔业绿色、健康发展。全市水产品总产量达到</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 w:eastAsia="zh-CN"/>
        </w:rPr>
        <w:t>65</w:t>
      </w:r>
      <w:r>
        <w:rPr>
          <w:rFonts w:hint="eastAsia" w:ascii="仿宋_GB2312" w:hAnsi="仿宋_GB2312" w:eastAsia="仿宋_GB2312" w:cs="仿宋_GB2312"/>
          <w:sz w:val="32"/>
          <w:szCs w:val="32"/>
          <w:lang w:eastAsia="zh-CN"/>
        </w:rPr>
        <w:t>万吨。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四、实施一二三产融合行动，打造农业全产业链</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（十）实施现代农业产业园创建行动。</w:t>
      </w:r>
      <w:r>
        <w:rPr>
          <w:rFonts w:hint="eastAsia" w:ascii="仿宋_GB2312" w:hAnsi="仿宋_GB2312" w:eastAsia="仿宋_GB2312" w:cs="仿宋_GB2312"/>
          <w:sz w:val="32"/>
          <w:szCs w:val="32"/>
          <w:lang w:eastAsia="zh-CN"/>
        </w:rPr>
        <w:t>推进现代农业产业园建设，争创国家农业现代化示范区。依托现代农业产业园发展“一县一业”。</w:t>
      </w:r>
      <w:r>
        <w:rPr>
          <w:rFonts w:hint="eastAsia" w:ascii="仿宋_GB2312" w:hAnsi="仿宋_GB2312" w:eastAsia="仿宋_GB2312" w:cs="仿宋_GB2312"/>
          <w:sz w:val="32"/>
          <w:szCs w:val="32"/>
          <w:lang w:val="en-US" w:eastAsia="zh-CN"/>
        </w:rPr>
        <w:t>重点抓好平原示范区种业国家现代农业产业园和获嘉县香菇、辉县市食用菌、卫辉市桃等省级现代农业产业园</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指导各县（市、区）开展县级产业园创建，为</w:t>
      </w:r>
      <w:r>
        <w:rPr>
          <w:rFonts w:hint="eastAsia" w:ascii="仿宋_GB2312" w:hAnsi="仿宋_GB2312" w:eastAsia="仿宋_GB2312" w:cs="仿宋_GB2312"/>
          <w:sz w:val="32"/>
          <w:szCs w:val="32"/>
          <w:lang w:eastAsia="zh-CN"/>
        </w:rPr>
        <w:t>创建</w:t>
      </w:r>
      <w:r>
        <w:rPr>
          <w:rFonts w:hint="eastAsia" w:ascii="仿宋_GB2312" w:hAnsi="仿宋_GB2312" w:eastAsia="仿宋_GB2312" w:cs="仿宋_GB2312"/>
          <w:sz w:val="32"/>
          <w:szCs w:val="32"/>
        </w:rPr>
        <w:t>国家、省、市级产业园做好项目储</w:t>
      </w:r>
      <w:r>
        <w:rPr>
          <w:rFonts w:hint="eastAsia" w:ascii="仿宋_GB2312" w:hAnsi="仿宋_GB2312" w:eastAsia="仿宋_GB2312" w:cs="仿宋_GB2312"/>
          <w:sz w:val="32"/>
          <w:szCs w:val="32"/>
          <w:lang w:val="en-US" w:eastAsia="zh-CN"/>
        </w:rPr>
        <w:t>备。新增省级现代农业产业园1个。实施农业产业强镇示范建设项目，依托农业产业强镇发展“一镇一特”，依托区域主导产业创建区域品牌、产品品牌，以乡镇为单位构建特色鲜明、布局合理的乡村产业体系。新增国家级农业产业强镇1个。依托绿色食品原料标准化生产基地发展“一村一品”，</w:t>
      </w:r>
      <w:r>
        <w:rPr>
          <w:rFonts w:hint="default" w:ascii="仿宋_GB2312" w:hAnsi="仿宋_GB2312" w:eastAsia="仿宋_GB2312" w:cs="仿宋_GB2312"/>
          <w:sz w:val="32"/>
          <w:szCs w:val="32"/>
          <w:lang w:val="en-US" w:eastAsia="zh-CN"/>
        </w:rPr>
        <w:t>抓好绿色食品原料标准化生产基地创建</w:t>
      </w:r>
      <w:r>
        <w:rPr>
          <w:rFonts w:hint="eastAsia" w:ascii="仿宋_GB2312" w:hAnsi="仿宋_GB2312" w:eastAsia="仿宋_GB2312" w:cs="仿宋_GB2312"/>
          <w:sz w:val="32"/>
          <w:szCs w:val="32"/>
          <w:lang w:val="en-US" w:eastAsia="zh-CN"/>
        </w:rPr>
        <w:t>，积极争创国家级、省级“一村一品”示范村镇。</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val="en" w:eastAsia="zh-CN"/>
        </w:rPr>
      </w:pPr>
      <w:r>
        <w:rPr>
          <w:rFonts w:hint="eastAsia" w:ascii="楷体_GB2312" w:hAnsi="楷体_GB2312" w:eastAsia="楷体_GB2312" w:cs="楷体_GB2312"/>
          <w:b/>
          <w:bCs/>
          <w:sz w:val="32"/>
          <w:szCs w:val="32"/>
          <w:lang w:val="en-US" w:eastAsia="zh-CN"/>
        </w:rPr>
        <w:t>（十一）实施农产品加工升级行动。</w:t>
      </w:r>
      <w:r>
        <w:rPr>
          <w:rFonts w:hint="eastAsia" w:ascii="仿宋_GB2312" w:hAnsi="仿宋_GB2312" w:eastAsia="仿宋_GB2312" w:cs="仿宋_GB2312"/>
          <w:sz w:val="32"/>
          <w:szCs w:val="32"/>
          <w:lang w:val="en-US" w:eastAsia="zh-CN"/>
        </w:rPr>
        <w:t>坚持“粮头食尾”“农头工尾”，鼓励农产品企业通过兼并重组、参股控股、改组上市等形式做大做强，培育农产品加工企业集团，打造绿色食品加工产业链，争创国家优势特色产业集群。围绕产品生产、加工、销售，通过龙头带动，吸纳配套关联企业，建设一批上下游协作紧密、产业链相对完整、辐射带动能力较强的“全链条、全循环、高质量、高效益”的农业产业化联合体。培育以农业产业化国家重点龙头企业为主的全产业链“链主”企业，推行“群链长制”“盟会长制”，争创全国农业全产业链重点链和典型县。培育壮大冷链食品、特色功能食品等产业，以五得利、克明面业两个十亿级面粉加工企业为龙头，吸纳克明面粉、康迪粉业、仙力面业等面粉深加工企业，着手打造全国优质面粉及面制品加工产业集群；以米多奇为休闲食品产业龙头，吸纳口口妙食品、亚特兰、银龙食品等企业，着手打造休闲食品生产加工基地；以九豫全、雨轩食品、阿杰食品为肉制品加工龙头，联合中央厨房产业园，着手打造牛羊肉及熟肉制品中央厨房物流配送平台；以封丘县为重点，发展酸辣粉生产等红薯加工业。全市新增省级以上农业产业化龙头企业2家，总量达到40家以上。配合开展“万人助万企”活动，切实为企业纾难解困。建立完善“龙头企业+合作社+基地+农户”等组织形式，引导龙头企业与农户建立紧密的利益联结关系。</w:t>
      </w:r>
      <w:r>
        <w:rPr>
          <w:rFonts w:hint="eastAsia" w:ascii="仿宋_GB2312" w:hAnsi="仿宋_GB2312" w:eastAsia="仿宋_GB2312" w:cs="仿宋_GB2312"/>
          <w:sz w:val="32"/>
          <w:szCs w:val="32"/>
        </w:rPr>
        <w:t>发挥农业多种功能和乡村多重价值，</w:t>
      </w:r>
      <w:r>
        <w:rPr>
          <w:rFonts w:hint="eastAsia" w:ascii="仿宋_GB2312" w:hAnsi="仿宋_GB2312" w:eastAsia="仿宋_GB2312" w:cs="仿宋_GB2312"/>
          <w:sz w:val="32"/>
          <w:szCs w:val="32"/>
          <w:lang w:val="en" w:eastAsia="zh-CN"/>
        </w:rPr>
        <w:t>通过重点推荐、管理培训、扩大宣传等多种方式，</w:t>
      </w:r>
      <w:r>
        <w:rPr>
          <w:rFonts w:hint="eastAsia" w:ascii="仿宋_GB2312" w:hAnsi="仿宋_GB2312" w:eastAsia="仿宋_GB2312" w:cs="仿宋_GB2312"/>
          <w:sz w:val="32"/>
          <w:szCs w:val="32"/>
          <w:lang w:val="en-US" w:eastAsia="zh-CN"/>
        </w:rPr>
        <w:t>大力推介精品休闲农业与乡村旅游点，</w:t>
      </w:r>
      <w:r>
        <w:rPr>
          <w:rFonts w:hint="eastAsia" w:ascii="仿宋_GB2312" w:hAnsi="仿宋_GB2312" w:eastAsia="仿宋_GB2312" w:cs="仿宋_GB2312"/>
          <w:sz w:val="32"/>
          <w:szCs w:val="32"/>
          <w:lang w:val="en" w:eastAsia="zh-CN"/>
        </w:rPr>
        <w:t>进一步推进休闲农业快速发展，争创</w:t>
      </w:r>
      <w:r>
        <w:rPr>
          <w:rFonts w:hint="eastAsia" w:ascii="仿宋_GB2312" w:hAnsi="仿宋_GB2312" w:eastAsia="仿宋_GB2312" w:cs="仿宋_GB2312"/>
          <w:sz w:val="32"/>
          <w:szCs w:val="32"/>
          <w:lang w:val="en-US" w:eastAsia="zh-CN"/>
        </w:rPr>
        <w:t>全国休闲农业重点县，遴选推介美丽休闲乡村和乡村休闲旅游精品景点线路。</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（十二）实施品牌创建行动。</w:t>
      </w:r>
      <w:r>
        <w:rPr>
          <w:rFonts w:hint="eastAsia" w:ascii="仿宋_GB2312" w:hAnsi="仿宋_GB2312" w:eastAsia="仿宋_GB2312" w:cs="仿宋_GB2312"/>
          <w:sz w:val="32"/>
          <w:szCs w:val="32"/>
          <w:lang w:val="en-US" w:eastAsia="zh-CN"/>
        </w:rPr>
        <w:t>推行全链条标准化生产，组织制修订符合农业高质量发展的地方标准，争创国家农产品现代农业全产业链标准化试点。实施农业品牌精品培育计划，加大</w:t>
      </w:r>
      <w:r>
        <w:rPr>
          <w:rFonts w:hint="eastAsia" w:ascii="仿宋_GB2312" w:hAnsi="仿宋_GB2312" w:eastAsia="仿宋_GB2312" w:cs="仿宋_GB2312"/>
          <w:sz w:val="32"/>
          <w:szCs w:val="32"/>
          <w:lang w:eastAsia="zh-CN"/>
        </w:rPr>
        <w:t>名优特新农产品</w:t>
      </w:r>
      <w:r>
        <w:rPr>
          <w:rFonts w:hint="eastAsia" w:ascii="仿宋_GB2312" w:hAnsi="仿宋_GB2312" w:eastAsia="仿宋_GB2312" w:cs="仿宋_GB2312"/>
          <w:sz w:val="32"/>
          <w:szCs w:val="32"/>
        </w:rPr>
        <w:t>宣传力度，总结推广各具特色的农产品营销模式，</w:t>
      </w:r>
      <w:r>
        <w:rPr>
          <w:rFonts w:hint="eastAsia" w:ascii="仿宋_GB2312" w:hAnsi="仿宋_GB2312" w:eastAsia="仿宋_GB2312" w:cs="仿宋_GB2312"/>
          <w:sz w:val="32"/>
          <w:szCs w:val="32"/>
          <w:lang w:eastAsia="zh-CN"/>
        </w:rPr>
        <w:t>做大做强延津第一麦、原阳大米等品牌。</w:t>
      </w:r>
      <w:r>
        <w:rPr>
          <w:rFonts w:hint="eastAsia" w:ascii="仿宋_GB2312" w:hAnsi="仿宋_GB2312" w:eastAsia="仿宋_GB2312" w:cs="仿宋_GB2312"/>
          <w:sz w:val="32"/>
          <w:szCs w:val="32"/>
        </w:rPr>
        <w:t>做好农业对外开放工作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鼓励、组织农产品生产经营主体参展参评各类大型展会，加强宣传推介，提升市场竞争力和影响力。新增市级以上农产品品牌5个。</w:t>
      </w:r>
      <w:r>
        <w:rPr>
          <w:rFonts w:hint="eastAsia" w:ascii="仿宋_GB2312" w:hAnsi="仿宋_GB2312" w:eastAsia="仿宋_GB2312" w:cs="仿宋_GB2312"/>
          <w:sz w:val="32"/>
          <w:szCs w:val="32"/>
          <w:lang w:eastAsia="zh-CN"/>
        </w:rPr>
        <w:t>积极发展</w:t>
      </w:r>
      <w:r>
        <w:rPr>
          <w:rFonts w:hint="eastAsia" w:ascii="仿宋_GB2312" w:hAnsi="仿宋_GB2312" w:eastAsia="仿宋_GB2312" w:cs="仿宋_GB2312"/>
          <w:sz w:val="32"/>
          <w:szCs w:val="32"/>
        </w:rPr>
        <w:t>绿色食品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打造“豫农优品”品牌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推进绿色、有机、地</w:t>
      </w:r>
      <w:r>
        <w:rPr>
          <w:rFonts w:hint="eastAsia" w:ascii="仿宋_GB2312" w:hAnsi="仿宋_GB2312" w:eastAsia="仿宋_GB2312" w:cs="仿宋_GB2312"/>
          <w:sz w:val="32"/>
          <w:szCs w:val="32"/>
          <w:lang w:val="en-US" w:eastAsia="zh-CN"/>
        </w:rPr>
        <w:t>理标志农产品认证登记，新增“三品一标”认证产品10个以上。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五、实施农业科技支撑行动，加快科技创新与推广</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（十三）深入实施种业振兴行动。</w:t>
      </w:r>
      <w:r>
        <w:rPr>
          <w:rFonts w:hint="default" w:ascii="仿宋_GB2312" w:hAnsi="仿宋_GB2312" w:eastAsia="仿宋_GB2312" w:cs="仿宋_GB2312"/>
          <w:sz w:val="32"/>
          <w:szCs w:val="32"/>
          <w:lang w:val="en-US" w:eastAsia="zh-CN"/>
        </w:rPr>
        <w:t>认真落实加快建设现代种业强省的若干意见，</w:t>
      </w:r>
      <w:r>
        <w:rPr>
          <w:rFonts w:hint="eastAsia" w:ascii="仿宋_GB2312" w:hAnsi="仿宋_GB2312" w:eastAsia="仿宋_GB2312" w:cs="仿宋_GB2312"/>
          <w:sz w:val="32"/>
          <w:szCs w:val="32"/>
          <w:lang w:val="en-US" w:eastAsia="zh-CN"/>
        </w:rPr>
        <w:t>紧紧围绕中原农谷“一核三区”发展策略，以平原示范区和新乡县为主体，依托驻新科研院所，支持神农种业实验室平原示范区总部、国家生物育种产业创新中心等项目建设，建立“地标性”农业育种产业科研创新公共平台。加强种质资源保护利用，推进农作物、畜禽、水产养殖和食用菌种质资源普查。开展种业创新攻关，推广优质高效农作物新品种10个以上。</w:t>
      </w:r>
      <w:r>
        <w:rPr>
          <w:rFonts w:hint="default" w:ascii="仿宋_GB2312" w:hAnsi="仿宋_GB2312" w:eastAsia="仿宋_GB2312" w:cs="仿宋_GB2312"/>
          <w:sz w:val="32"/>
          <w:szCs w:val="32"/>
          <w:lang w:val="en-US" w:eastAsia="zh-CN"/>
        </w:rPr>
        <w:t>扶优扶强种业企业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推动构建商业化育种体系，争取</w:t>
      </w:r>
      <w:r>
        <w:rPr>
          <w:rFonts w:hint="eastAsia" w:ascii="仿宋_GB2312" w:hAnsi="仿宋_GB2312" w:eastAsia="仿宋_GB2312" w:cs="仿宋_GB2312"/>
          <w:sz w:val="32"/>
          <w:szCs w:val="32"/>
          <w:lang w:val="en-US" w:eastAsia="zh-CN"/>
        </w:rPr>
        <w:t>我市</w:t>
      </w:r>
      <w:r>
        <w:rPr>
          <w:rFonts w:hint="default" w:ascii="仿宋_GB2312" w:hAnsi="仿宋_GB2312" w:eastAsia="仿宋_GB2312" w:cs="仿宋_GB2312"/>
          <w:sz w:val="32"/>
          <w:szCs w:val="32"/>
          <w:lang w:val="en-US" w:eastAsia="zh-CN"/>
        </w:rPr>
        <w:t>种业企业进入国家</w:t>
      </w:r>
      <w:r>
        <w:rPr>
          <w:rFonts w:hint="eastAsia" w:ascii="仿宋_GB2312" w:hAnsi="仿宋_GB2312" w:eastAsia="仿宋_GB2312" w:cs="仿宋_GB2312"/>
          <w:sz w:val="32"/>
          <w:szCs w:val="32"/>
          <w:lang w:val="en-US" w:eastAsia="zh-CN"/>
        </w:rPr>
        <w:t>级、省级</w:t>
      </w:r>
      <w:r>
        <w:rPr>
          <w:rFonts w:hint="default" w:ascii="仿宋_GB2312" w:hAnsi="仿宋_GB2312" w:eastAsia="仿宋_GB2312" w:cs="仿宋_GB2312"/>
          <w:sz w:val="32"/>
          <w:szCs w:val="32"/>
          <w:lang w:val="en-US" w:eastAsia="zh-CN"/>
        </w:rPr>
        <w:t>阵型管理。</w:t>
      </w:r>
      <w:r>
        <w:rPr>
          <w:rFonts w:hint="eastAsia" w:ascii="仿宋_GB2312" w:hAnsi="仿宋_GB2312" w:eastAsia="仿宋_GB2312" w:cs="仿宋_GB2312"/>
          <w:sz w:val="32"/>
          <w:szCs w:val="32"/>
          <w:lang w:val="en-US" w:eastAsia="zh-CN"/>
        </w:rPr>
        <w:t>提升良种繁育能力，全市建立农作物良种繁育基地110万亩，争创国家级、省级育种制种基地、制种大县和良种繁育基地，打造集育种、繁育、推广于一体的全省乃至全国种业高地。</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（十四）健全完善农技推广服务体系。</w:t>
      </w:r>
      <w:r>
        <w:rPr>
          <w:rFonts w:hint="eastAsia" w:ascii="仿宋_GB2312" w:hAnsi="仿宋_GB2312" w:eastAsia="仿宋_GB2312" w:cs="仿宋_GB2312"/>
          <w:sz w:val="32"/>
          <w:szCs w:val="32"/>
          <w:lang w:val="en-US" w:eastAsia="zh-CN"/>
        </w:rPr>
        <w:t>巩固拓展科教兴农“一三五五”工作机制，构建和完善现代农业产业技术体系。谋划争取基层农技推广体系改革与建设补助项目，健全公益性农技推广服务网络，组建县域农技推广服务团队，塑造农业科技示范展示基地，培育农业科技示范主体，全面轮训基层农技人员，全年农业主推技术到位率超过95%。创新农技推广服务形式，加大农业科技示范推广力度，推动农业新科技、新成果向现实生产力转变，建立农业科技试验示范基地10个以上。发挥乡村振兴农业专家服务团作用，大力开展农业科技服务活动，促进农业科技成果与生产“无缝对接”。认真落实农业农村系统高质量推进“人人持证、技能河南”建设工作，实施高素质农民培育计划和农村实用人才培训工程，逐步实现农村劳动力持证比例大幅度提高。</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（十五）积极推动智慧农业发展。</w:t>
      </w:r>
      <w:r>
        <w:rPr>
          <w:rFonts w:hint="eastAsia" w:ascii="仿宋_GB2312" w:hAnsi="仿宋_GB2312" w:eastAsia="仿宋_GB2312" w:cs="仿宋_GB2312"/>
          <w:sz w:val="32"/>
          <w:szCs w:val="32"/>
          <w:lang w:val="en-US" w:eastAsia="zh-CN"/>
        </w:rPr>
        <w:t>发挥智慧农业联盟作用，谋划、布局“黄淮流域优质小麦智慧化工程”项目，支持联盟单位通过各种渠道申报项目。实施数字乡村建设行动，争创省级数字乡村示范县，推动加强信息技术在农业农村领域应用推广。加强数字农业建设，加快延津小麦国家数字农业试点项目实施落地，在省级数字乡村示范县开展“一村九园”（数字村庄、数字田园、数字果园、数字菜园、数字茶园、数字菌园、数字药园、数字花园、数字牧场、数字渔场）建设，打造一批“一村九园”数字化应用场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黑体"/>
          <w:sz w:val="32"/>
          <w:szCs w:val="32"/>
          <w:lang w:eastAsia="zh-CN"/>
        </w:rPr>
        <w:t>、实施乡村建设行动，健全完善农业农村基础设施</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（十六）高质量建设高标准农田。</w:t>
      </w:r>
      <w:r>
        <w:rPr>
          <w:rFonts w:hint="eastAsia" w:ascii="仿宋_GB2312" w:hAnsi="仿宋_GB2312" w:eastAsia="仿宋_GB2312" w:cs="仿宋_GB2312"/>
          <w:sz w:val="32"/>
          <w:szCs w:val="32"/>
          <w:lang w:val="en-US" w:eastAsia="zh-CN"/>
        </w:rPr>
        <w:t>持续深化高标准农田建设提质，新建重建高标准农田52万亩，推进新乡县、延津县100万亩全域高标准农田高效节水灌溉项目建设，重点打造15万亩智慧型高效节水灌溉示范区，各县（市、区）建设不少于1万亩集中连片高效节水灌溉示范区。</w:t>
      </w:r>
      <w:r>
        <w:rPr>
          <w:rFonts w:hint="eastAsia" w:ascii="仿宋_GB2312" w:hAnsi="仿宋_GB2312" w:eastAsia="仿宋_GB2312" w:cs="仿宋_GB2312"/>
          <w:sz w:val="32"/>
          <w:szCs w:val="32"/>
          <w:lang w:eastAsia="zh-CN"/>
        </w:rPr>
        <w:t>抓好</w:t>
      </w:r>
      <w:r>
        <w:rPr>
          <w:rFonts w:hint="eastAsia" w:ascii="仿宋_GB2312" w:hAnsi="仿宋_GB2312" w:eastAsia="仿宋_GB2312" w:cs="仿宋_GB2312"/>
          <w:sz w:val="32"/>
          <w:szCs w:val="32"/>
        </w:rPr>
        <w:t>损毁高标准农田恢复重建，6月底前全面完成Ⅱ类水毁高标准农田恢复重建，年底前</w:t>
      </w:r>
      <w:r>
        <w:rPr>
          <w:rFonts w:hint="eastAsia" w:ascii="华文仿宋" w:hAnsi="华文仿宋" w:eastAsia="华文仿宋" w:cs="华文仿宋"/>
          <w:sz w:val="32"/>
          <w:szCs w:val="32"/>
        </w:rPr>
        <w:t>I</w:t>
      </w:r>
      <w:r>
        <w:rPr>
          <w:rFonts w:hint="eastAsia" w:ascii="仿宋_GB2312" w:hAnsi="仿宋_GB2312" w:eastAsia="仿宋_GB2312" w:cs="仿宋_GB2312"/>
          <w:sz w:val="32"/>
          <w:szCs w:val="32"/>
        </w:rPr>
        <w:t>类水毁高标准农田工程建设大头落地。持续深化农田水利设施整改成果，健全高标准农田建后管护长效机制，加强日常督促检查，组织开展基层调研暗访暗查，及时摸排</w:t>
      </w:r>
      <w:r>
        <w:rPr>
          <w:rFonts w:hint="eastAsia" w:ascii="仿宋_GB2312" w:hAnsi="仿宋_GB2312" w:eastAsia="仿宋_GB2312" w:cs="仿宋_GB2312"/>
          <w:sz w:val="32"/>
          <w:szCs w:val="32"/>
          <w:lang w:eastAsia="zh-CN"/>
        </w:rPr>
        <w:t>整改</w:t>
      </w:r>
      <w:r>
        <w:rPr>
          <w:rFonts w:hint="eastAsia" w:ascii="仿宋_GB2312" w:hAnsi="仿宋_GB2312" w:eastAsia="仿宋_GB2312" w:cs="仿宋_GB2312"/>
          <w:sz w:val="32"/>
          <w:szCs w:val="32"/>
        </w:rPr>
        <w:t>苗头性倾向性问题。</w:t>
      </w:r>
      <w:r>
        <w:rPr>
          <w:rFonts w:hint="eastAsia" w:ascii="仿宋_GB2312" w:hAnsi="仿宋_GB2312" w:eastAsia="仿宋_GB2312" w:cs="仿宋_GB2312"/>
          <w:sz w:val="32"/>
          <w:szCs w:val="32"/>
          <w:lang w:eastAsia="zh-CN"/>
        </w:rPr>
        <w:t>持续加强耕地质量建设与保护，加强</w:t>
      </w:r>
      <w:r>
        <w:rPr>
          <w:rFonts w:hint="eastAsia" w:ascii="仿宋_GB2312" w:hAnsi="仿宋_GB2312" w:eastAsia="仿宋_GB2312" w:cs="仿宋_GB2312"/>
          <w:sz w:val="32"/>
          <w:szCs w:val="32"/>
        </w:rPr>
        <w:t>耕地土壤污染防治，综合运用深耕深翻、秸秆还田、平衡施肥、增施有机肥、施用土壤调理剂等农业措施，稳步提升耕地质量和地力水平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（十七）推进农村人居环境整治。</w:t>
      </w:r>
      <w:r>
        <w:rPr>
          <w:rFonts w:hint="eastAsia" w:ascii="仿宋_GB2312" w:hAnsi="仿宋_GB2312" w:eastAsia="仿宋_GB2312" w:cs="仿宋_GB2312"/>
          <w:sz w:val="32"/>
          <w:szCs w:val="32"/>
          <w:lang w:val="en-US" w:eastAsia="zh-CN"/>
        </w:rPr>
        <w:t>接续实施农村人居环境整治提升五年行动，开展“清脏、治乱、增绿、点亮、美化、管护”六大行动，创建省级“千万工程”示范村60个，</w:t>
      </w:r>
      <w:r>
        <w:rPr>
          <w:rFonts w:hint="eastAsia" w:ascii="仿宋_GB2312" w:hAnsi="仿宋_GB2312" w:eastAsia="仿宋_GB2312" w:cs="仿宋_GB2312"/>
          <w:sz w:val="32"/>
          <w:szCs w:val="32"/>
        </w:rPr>
        <w:t>确保5月底前实现村庄净起来、绿起来、亮起来、美起来</w:t>
      </w:r>
      <w:r>
        <w:rPr>
          <w:rFonts w:hint="eastAsia" w:ascii="仿宋_GB2312" w:hAnsi="仿宋_GB2312" w:eastAsia="仿宋_GB2312" w:cs="仿宋_GB2312"/>
          <w:sz w:val="32"/>
          <w:szCs w:val="32"/>
          <w:lang w:val="en-US" w:eastAsia="zh-CN"/>
        </w:rPr>
        <w:t>。稳步推进农村“厕所革命”，新完成6万户、150个整村推进改厕任务，逐步提高农村无害化卫生厕所覆盖率。协调推进农村生活污水和垃圾治理等重点工作，推动农村基础设施建设不断完善。完善农村人居环境整治长效机制，各县（市、区）分别建立镇村垃圾收运体系长效运行机制，构建市、县、乡三级农村人居环境整治常态化成效评价体系。争创美丽乡村示范县、美丽小镇、“四美乡村”，带动美丽乡村建设全域推进、整体提升。</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（十八）提升农机装备水平。</w:t>
      </w:r>
      <w:r>
        <w:rPr>
          <w:rFonts w:hint="eastAsia" w:ascii="仿宋_GB2312" w:hAnsi="仿宋_GB2312" w:eastAsia="仿宋_GB2312" w:cs="仿宋_GB2312"/>
          <w:sz w:val="32"/>
          <w:szCs w:val="32"/>
          <w:lang w:val="en-US" w:eastAsia="zh-CN"/>
        </w:rPr>
        <w:t>落实农机装备产业链链长和产业联盟“双长制”，加快农机装备产业园建设。依托和协集团、沃德机械、花溪科技等企业，加强与科研院所合作，重点突破农业机械数字化设计、可靠性与自动监测、智能信息化等关键核心技术，做强玉米、花生、中药材等高效收获机械和饲料机械、农作物秸秆打捆机、鲜奶储运罐、粮食果蔬烘干设备等优势产品，向高效智能、舒适便捷、节约可靠、复式功能、宽幅大型、节能环保方向发展。与中国农科院农灌所合作，着力引进、发展节水灌溉设备生产企业，推进卫辉市畜牧机械产业园建设，打造我国北方最大的畜牧机械产业园；与河南科技学院合作，开发智能畜禽养殖设备；支持凤泉区建设饲料收获机械制造基地。落实农机购置与应用补贴政策，推进农机农艺融合，做好重要农时农机化生产服务。培育农机装备先进制造业集群1-2个，全市农机总动力提升至690万千瓦以上，农业综合机械化水平达到9</w:t>
      </w:r>
      <w:r>
        <w:rPr>
          <w:rFonts w:hint="default" w:ascii="仿宋_GB2312" w:hAnsi="仿宋_GB2312" w:eastAsia="仿宋_GB2312" w:cs="仿宋_GB2312"/>
          <w:sz w:val="32"/>
          <w:szCs w:val="32"/>
          <w:lang w:val="en" w:eastAsia="zh-CN"/>
        </w:rPr>
        <w:t>0</w:t>
      </w:r>
      <w:r>
        <w:rPr>
          <w:rFonts w:hint="eastAsia" w:ascii="仿宋_GB2312" w:hAnsi="仿宋_GB2312" w:eastAsia="仿宋_GB2312" w:cs="仿宋_GB2312"/>
          <w:sz w:val="32"/>
          <w:szCs w:val="32"/>
          <w:lang w:val="en-US" w:eastAsia="zh-CN"/>
        </w:rPr>
        <w:t>%以上，争创全国主要农作物全程机械化示范县，争创国家级、省级平安农机示范市、示范县、示范乡（镇）、示范合作社和岗位标兵。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七、实施经营机制创新行动，持续深化改革和改进乡村治理</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（十九）系统谋划推进新阶段农村改革。</w:t>
      </w:r>
      <w:r>
        <w:rPr>
          <w:rFonts w:hint="eastAsia" w:ascii="仿宋_GB2312" w:hAnsi="仿宋_GB2312" w:eastAsia="仿宋_GB2312" w:cs="仿宋_GB2312"/>
          <w:sz w:val="32"/>
          <w:szCs w:val="32"/>
        </w:rPr>
        <w:t>稳慎推进</w:t>
      </w:r>
      <w:r>
        <w:rPr>
          <w:rFonts w:hint="eastAsia" w:ascii="仿宋_GB2312" w:hAnsi="仿宋_GB2312" w:eastAsia="仿宋_GB2312" w:cs="仿宋_GB2312"/>
          <w:sz w:val="32"/>
          <w:szCs w:val="32"/>
          <w:lang w:val="en-US" w:eastAsia="zh-CN"/>
        </w:rPr>
        <w:t>农村宅基地制度改革，抓好长垣市农村宅基地制度改革试点。做好农村乱占耕地建住宅类房屋专项整治相关工作，妥善化解宅基地历史遗留问题。贯彻落实农村宅基地和村民自建住房管理办法，规范农村宅基地和农民自建房管理。巩固完善农村集体产权制度改革，健全农村集体资产管理和运营机制，多途径发展壮大集体经济，基本消除集体经济空壳村，集体收入5万元以上的村稳定在85%以上。</w:t>
      </w:r>
      <w:r>
        <w:rPr>
          <w:rFonts w:hint="eastAsia" w:ascii="仿宋_GB2312" w:hAnsi="仿宋_GB2312" w:eastAsia="仿宋_GB2312" w:cs="仿宋_GB2312"/>
          <w:sz w:val="32"/>
          <w:szCs w:val="32"/>
        </w:rPr>
        <w:t>巩固和完</w:t>
      </w:r>
      <w:r>
        <w:rPr>
          <w:rFonts w:hint="eastAsia" w:ascii="仿宋_GB2312" w:hAnsi="仿宋_GB2312" w:eastAsia="仿宋_GB2312" w:cs="仿宋_GB2312"/>
          <w:sz w:val="32"/>
          <w:szCs w:val="32"/>
          <w:lang w:val="en-US" w:eastAsia="zh-CN"/>
        </w:rPr>
        <w:t>善农村基本经营制度，持续深化承包地“三权分置”改革，加强农村土地承包管理和服务，推动各地建立健全工商企业等社会资本流转土地经营权资格审查、项目审核和风险防范制度机制,引导农村土地经营权有序流转，促进土地规范流转和适度规模经营。积极培育家庭农场、农民合作社等新型主体，争创农民合作社质量提升整县推进试点、家庭农场示范市（县）。新认定县级以上示范家庭农场50家以上，全市农民合作社稳定在1.26万家以上，争创省级以上示范合作社。</w:t>
      </w:r>
      <w:r>
        <w:rPr>
          <w:rFonts w:hint="default" w:ascii="仿宋_GB2312" w:hAnsi="仿宋_GB2312" w:eastAsia="仿宋_GB2312" w:cs="仿宋_GB2312"/>
          <w:sz w:val="32"/>
          <w:szCs w:val="32"/>
          <w:lang w:val="en-US" w:eastAsia="zh-CN"/>
        </w:rPr>
        <w:t>加强辅导员队伍建设，鼓励创建新型农业经营主体服务中心。</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（二十）坚持不懈推进农业绿色发展。</w:t>
      </w:r>
      <w:r>
        <w:rPr>
          <w:rFonts w:hint="default" w:ascii="仿宋_GB2312" w:hAnsi="仿宋_GB2312" w:eastAsia="仿宋_GB2312" w:cs="仿宋_GB2312"/>
          <w:sz w:val="32"/>
          <w:szCs w:val="32"/>
          <w:lang w:val="en-US" w:eastAsia="zh-CN"/>
        </w:rPr>
        <w:t>加强秸秆禁烧管控，全力抓好夏秋季集中禁烧和全年常态化秸秆禁烧。全市秸秆综合利用率达到</w:t>
      </w:r>
      <w:r>
        <w:rPr>
          <w:rFonts w:hint="eastAsia" w:ascii="仿宋_GB2312" w:hAnsi="仿宋_GB2312" w:eastAsia="仿宋_GB2312" w:cs="仿宋_GB2312"/>
          <w:sz w:val="32"/>
          <w:szCs w:val="32"/>
          <w:lang w:val="en-US" w:eastAsia="zh-CN"/>
        </w:rPr>
        <w:t>91.5</w:t>
      </w:r>
      <w:r>
        <w:rPr>
          <w:rFonts w:hint="default" w:ascii="仿宋_GB2312" w:hAnsi="仿宋_GB2312" w:eastAsia="仿宋_GB2312" w:cs="仿宋_GB2312"/>
          <w:sz w:val="32"/>
          <w:szCs w:val="32"/>
          <w:lang w:val="en-US" w:eastAsia="zh-CN"/>
        </w:rPr>
        <w:t>%以上，争创国家秸秆综合利用重点县，</w:t>
      </w:r>
      <w:r>
        <w:rPr>
          <w:rFonts w:hint="eastAsia" w:ascii="仿宋_GB2312" w:hAnsi="仿宋_GB2312" w:eastAsia="仿宋_GB2312" w:cs="仿宋_GB2312"/>
          <w:sz w:val="32"/>
          <w:szCs w:val="32"/>
          <w:lang w:val="en-US" w:eastAsia="zh-CN"/>
        </w:rPr>
        <w:t>项目重点县秸秆综合利用率稳定在92%以上，</w:t>
      </w:r>
      <w:r>
        <w:rPr>
          <w:rFonts w:hint="default" w:ascii="仿宋_GB2312" w:hAnsi="仿宋_GB2312" w:eastAsia="仿宋_GB2312" w:cs="仿宋_GB2312"/>
          <w:sz w:val="32"/>
          <w:szCs w:val="32"/>
          <w:lang w:val="en-US" w:eastAsia="zh-CN"/>
        </w:rPr>
        <w:t>推动秸秆禁烧和综合利用常态化</w:t>
      </w:r>
      <w:r>
        <w:rPr>
          <w:rFonts w:hint="eastAsia" w:ascii="仿宋_GB2312" w:hAnsi="仿宋_GB2312" w:eastAsia="仿宋_GB2312" w:cs="仿宋_GB2312"/>
          <w:sz w:val="32"/>
          <w:szCs w:val="32"/>
          <w:lang w:val="en-US" w:eastAsia="zh-CN"/>
        </w:rPr>
        <w:t>。加强畜禽养殖废弃物资源化利用，加快培育畜禽粪肥还田利用社会化服务组织。推进生态农场建设，开展绿色种养循环农业试点，持续推进农业污染防治，谋划实施农业面源污染治理项目、绿色种养循环农业试点续建项目。开展“两增两减”虫口夺粮促丰收行动，推进化学农药减量，争创化肥减量增效示范县。推广新农药、新药械等绿色防控技术措施，引导各地整县推进绿色防控和统防统治。实施兽用抗菌药使用减量化行动，加强试点场创建。探索建立农业农村减排固碳监测评估体系，发展减碳增汇型农业。全面推进农业废弃物回收处置，遴选一批重点覆膜大县整县推进加厚地膜使用和可降解地膜应用，打击非标农膜入市下田。会同开展“四水同治”行动，持续推进中央生态环境保护督查问题整改。加强“加拿大一枝黄花”等外来入侵物种防控。</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（二十一）提升乡村治理整体效能。</w:t>
      </w:r>
      <w:r>
        <w:rPr>
          <w:rFonts w:hint="eastAsia" w:ascii="仿宋_GB2312" w:hAnsi="仿宋_GB2312" w:eastAsia="仿宋_GB2312" w:cs="仿宋_GB2312"/>
          <w:sz w:val="32"/>
          <w:szCs w:val="32"/>
          <w:lang w:val="en-US" w:eastAsia="zh-CN"/>
        </w:rPr>
        <w:t>协调推进乡村治理体系建设，持续完善推广“积分制”“清单制”等治理方式，支持各地选择乡镇、村先行探索，鼓励有条件的地方整县推进。探索建立“互联网+”治理模式，提升乡村治理的信息化、智能化水平。会同推动移风易俗，发挥党员干部带头作用，以村民自治的方式，引导和鼓励农村基层群众性自治组织采取约束性措施，遏制农村陈规陋习，逐步解决高价彩礼、人情攀比、厚葬薄养等现实难题。配合开展平安乡村建设、“三零”创建、扫黑除恶、非法宗教整治、“同心圆·共发展”等工作。持续做好中原农耕文化遗产发掘保护传承，积极打造乡村文化品牌。配合做好大运河新乡段文化保护传承利用和黄河文化宣传保护。会同推动农村精神文明建设，指导开展农民文化活动和具有农村特色的体育活动，丰富农民群众精神生活。推介一批文明乡风建设典型案例。</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（二十二）加强涉农风险防范。</w:t>
      </w:r>
      <w:r>
        <w:rPr>
          <w:rFonts w:hint="eastAsia" w:ascii="仿宋_GB2312" w:hAnsi="仿宋_GB2312" w:eastAsia="仿宋_GB2312" w:cs="仿宋_GB2312"/>
          <w:sz w:val="32"/>
          <w:szCs w:val="32"/>
          <w:lang w:val="en-US" w:eastAsia="zh-CN"/>
        </w:rPr>
        <w:t>制定应对极端气象灾害应急预案，加强监测预警，科学防范低温冻害、干旱洪涝、地震等灾害。强化小麦条锈病、赤霉病和草地贪夜蛾等重大病虫害防控，重大病虫中短期预报准确率达到85%以上，单病虫危害损失率控制在5%以内。持续抓好非洲猪瘟等重大动物疫病防控，严防发生区域性重大动物疫情，推动构建“分区防控、无疫小区建设、净化场创建”三位一体动物疫病区域化管理新格局。</w:t>
      </w:r>
      <w:r>
        <w:rPr>
          <w:rFonts w:hint="eastAsia" w:ascii="CESI仿宋-GB2312" w:hAnsi="CESI仿宋-GB2312" w:eastAsia="CESI仿宋-GB2312" w:cs="CESI仿宋-GB2312"/>
          <w:sz w:val="32"/>
          <w:szCs w:val="32"/>
          <w:lang w:val="en-US" w:eastAsia="zh-CN"/>
        </w:rPr>
        <w:t>强化农产品质量</w:t>
      </w:r>
      <w:r>
        <w:rPr>
          <w:rFonts w:hint="eastAsia" w:ascii="仿宋_GB2312" w:hAnsi="仿宋_GB2312" w:eastAsia="仿宋_GB2312" w:cs="仿宋_GB2312"/>
          <w:sz w:val="32"/>
          <w:szCs w:val="32"/>
          <w:lang w:val="en-US" w:eastAsia="zh-CN"/>
        </w:rPr>
        <w:t>安全监管，全面推进食用农产品承诺达标合格证制度，纳入试行范围主体开具率达70%以上。大力推进农业标准化生产，开展农产品产地质量安全检测，强化农产品质量安全追溯管理。深入推进“治违禁、控药残、促提升”三年行动,加强安全监测和质量监管，加强农资生产经营监管，深入开展各项专项整治，严防发生重大农产品质量安全事件。深化农产品质量安全县创建，争创国家级农产品质量安全县。加强农业转基因各环节监管，有序规范农业转基因研究、试验、生产、经营、进口、加工活动。把疫情防控与农业农村安全生产结合起来，深入推进安全生产专项整治三年行动，强化农机、渔业、农药、饲料兽药、畜禽养殖、畜禽屠宰、农村沼气等重点行业安全生产。扎实做好农业农村领域信访稳定工作，为农业农村发展营造和谐稳定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八、实施多元化投入保障行动，坚持项目引领发展</w:t>
      </w: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"javascript:;" \o "表情"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（二十三）积极谋划项目。</w:t>
      </w:r>
      <w:r>
        <w:rPr>
          <w:rFonts w:hint="eastAsia" w:ascii="仿宋_GB2312" w:hAnsi="仿宋_GB2312" w:eastAsia="仿宋_GB2312" w:cs="仿宋_GB2312"/>
          <w:sz w:val="32"/>
          <w:szCs w:val="32"/>
          <w:lang w:val="en-US" w:eastAsia="zh-CN"/>
        </w:rPr>
        <w:t>立足我市农业农村资源禀赋，结合中央、省、市有关精神和“十四五”规划，立足当前，着眼长远，高标准、前瞻性谋划一批农业农村领域重大项目，开展可行性研究，充实完善项目库，积极向上级推荐，争取更多项目纳入国家、省项目盘子。重点谋划实施高标准农田高效节水灌溉示范区建设、现代农业产业园创建、种业振兴、农机装备制造业、农产品加工业、农村人居环境整治等重大项目。</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（二十四）多渠道筹措资金。</w:t>
      </w:r>
      <w:r>
        <w:rPr>
          <w:rFonts w:hint="eastAsia" w:ascii="仿宋_GB2312" w:hAnsi="仿宋_GB2312" w:eastAsia="仿宋_GB2312" w:cs="仿宋_GB2312"/>
          <w:sz w:val="32"/>
          <w:szCs w:val="32"/>
          <w:lang w:val="en-US" w:eastAsia="zh-CN"/>
        </w:rPr>
        <w:t>认真研究分析国家、省在农业农村领域投资方向和扶持政策，积极争取上级财政资金支持。加强与财政、发改、金融等部门之间的沟通衔接，强化与第三方机构的合作，优化项目申报、实施方案，努力提高政府专项债用于农业农村项目建设的比例。创新投融资模式，发挥财政资金杠杆引导作用，强化政策激励，明确支持的重点领域，细化落实用地、环评等具体政策措施，支持孵化型、成长型、创新型社会资本投资项目，吸引金融资本、社会资本、工商资本等各方资金投入农业农村领域。</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（二十五）扎实推动项目建设。</w:t>
      </w:r>
      <w:r>
        <w:rPr>
          <w:rFonts w:hint="eastAsia" w:ascii="仿宋_GB2312" w:hAnsi="仿宋_GB2312" w:eastAsia="仿宋_GB2312" w:cs="仿宋_GB2312"/>
          <w:sz w:val="32"/>
          <w:szCs w:val="32"/>
          <w:lang w:val="en-US" w:eastAsia="zh-CN"/>
        </w:rPr>
        <w:t>强化跟踪督导，及时调度进度，协助解决规划、审批、环评、土地、融资等方面问题，推动谋划项目尽快落地、开工项目加快进度、建成项目投产达效。加强项目监管，用足用好项目资金，严格按照实施方案抓好项目落实，按时保质保量完成建设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九、实施服务能力提升行动，不断提高做好新时代三农工作的能力水平</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（二十六）坚持党建引领，全面从严治党。</w:t>
      </w:r>
      <w:r>
        <w:rPr>
          <w:rFonts w:hint="eastAsia" w:ascii="仿宋_GB2312" w:hAnsi="仿宋_GB2312" w:eastAsia="仿宋_GB2312" w:cs="仿宋_GB2312"/>
          <w:sz w:val="32"/>
          <w:szCs w:val="32"/>
          <w:lang w:val="en-US" w:eastAsia="zh-CN"/>
        </w:rPr>
        <w:t>开展“模范机关”和“五星支部创建”工作，深入开展理想信念、党性党风教育、法制教育等政治理论学习，增强“四个意识”、坚定“四个自信”、做到“两个维护”，强化政治理论武装。深入学习贯彻习近平总书记关于“三农”工作重要论述，围绕“三农”重大问题开展调查研究，加快补齐知识技能短板，全面提升综合素质，确保中央、省、市关于“三农”各项决策部署落到实处。落实党建工作责任制，加强基层党组织建设。大力开展文明创建，弘扬社会主义核心价值观，牢牢掌握</w:t>
      </w:r>
      <w:r>
        <w:rPr>
          <w:rFonts w:hint="eastAsia" w:ascii="仿宋_GB2312" w:hAnsi="仿宋_GB2312" w:eastAsia="仿宋_GB2312" w:cs="仿宋_GB2312"/>
          <w:sz w:val="32"/>
          <w:szCs w:val="32"/>
          <w:lang w:val="en" w:eastAsia="zh-CN"/>
        </w:rPr>
        <w:t>意识形态</w:t>
      </w:r>
      <w:r>
        <w:rPr>
          <w:rFonts w:hint="eastAsia" w:ascii="仿宋_GB2312" w:hAnsi="仿宋_GB2312" w:eastAsia="仿宋_GB2312" w:cs="仿宋_GB2312"/>
          <w:sz w:val="32"/>
          <w:szCs w:val="32"/>
          <w:lang w:val="en-US" w:eastAsia="zh-CN"/>
        </w:rPr>
        <w:t>工作主动权。</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（二十七）坚持依法行政，优化营商环境。</w:t>
      </w:r>
      <w:r>
        <w:rPr>
          <w:rFonts w:hint="eastAsia" w:ascii="仿宋_GB2312" w:hAnsi="仿宋_GB2312" w:eastAsia="仿宋_GB2312" w:cs="仿宋_GB2312"/>
          <w:sz w:val="32"/>
          <w:szCs w:val="32"/>
          <w:lang w:val="en-US" w:eastAsia="zh-CN"/>
        </w:rPr>
        <w:t>把依法行政、依法用权、依法办事贯穿于优化营商环境全过程，持续深化“放管服”改革，落实“一网通办”前提下“最多跑一次”改革，强化行政审批制度化、标准化、规范化管理，提升政务</w:t>
      </w:r>
      <w:r>
        <w:rPr>
          <w:rFonts w:hint="eastAsia" w:ascii="仿宋_GB2312" w:hAnsi="仿宋_GB2312" w:eastAsia="仿宋_GB2312" w:cs="仿宋_GB2312"/>
          <w:sz w:val="32"/>
          <w:szCs w:val="32"/>
        </w:rPr>
        <w:t>服务水平。</w:t>
      </w:r>
      <w:r>
        <w:rPr>
          <w:rFonts w:hint="eastAsia" w:ascii="仿宋_GB2312" w:hAnsi="仿宋_GB2312" w:eastAsia="仿宋_GB2312" w:cs="仿宋_GB2312"/>
          <w:sz w:val="32"/>
          <w:szCs w:val="32"/>
          <w:lang w:val="en-US" w:eastAsia="zh-CN"/>
        </w:rPr>
        <w:t>加强规范性文件合法性审核和备案审查，开展普法宣传教育，健全完善普法责任制。规范行政执法行为，推进服务型行政执法建设。严格落实行政执法公示制度、执法全过程记录制度、重大执法决定法制审核制度“三项制度”。推行风险告知制度。推行“双随机、一公开”监管全覆盖，不断提高联合执法监管比例。推行精准执法、柔性执法，探索“互联网+监管”、信用监管新模式，实施包容审慎监管，依法保护市场主体合法生产经营。持续推进农业综合行政执法改革，健全市县农业综合执法体系，加强农业综合执法培训，提升执法办案水平，加大执法办案力度，严厉打击各类违法行为。自觉接受法律监督、人大监督、政协监督、群众监督、舆论监督，加强审计监督。积极做好保密教育、档案管理、卫生健康、节能减排、消防安全等工作。</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（二十八）整顿作风纪律，加强队伍建设。</w:t>
      </w:r>
      <w:r>
        <w:rPr>
          <w:rFonts w:hint="eastAsia" w:ascii="仿宋_GB2312" w:hAnsi="仿宋_GB2312" w:eastAsia="仿宋_GB2312" w:cs="仿宋_GB2312"/>
          <w:sz w:val="32"/>
          <w:szCs w:val="32"/>
          <w:lang w:val="en-US" w:eastAsia="zh-CN"/>
        </w:rPr>
        <w:t>深入学习贯彻习近平总书记关于加强作风建设的重要讲话和指示批示精神，开展作风能力建设年活动，全面开展纪律作风大整顿，引导广大党员干部进一步扛稳政治责任、改进工作作风、严守纪律规矩、增强服务意识、强化担当精神。扎实做好行政机构改革“后半篇”文章，有序推进农业农村系统事业单位重塑性改革，打造忠诚干净担当的“三农”工作队伍，营造风清气正的干事创业环境，为落实市第十二次党代会部署和“十四五”规划、推动乡村振兴战略实施提供有力保障，以优异成绩迎接党的二十大胜利召开。</w:t>
      </w:r>
    </w:p>
    <w:p>
      <w:pPr>
        <w:pStyle w:val="2"/>
        <w:ind w:left="0" w:leftChars="0" w:firstLine="0" w:firstLineChars="0"/>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val="en-US" w:eastAsia="zh-CN"/>
        </w:rPr>
        <w:sectPr>
          <w:footerReference r:id="rId3" w:type="default"/>
          <w:pgSz w:w="11906" w:h="16838"/>
          <w:pgMar w:top="1440" w:right="1800" w:bottom="1440" w:left="1800" w:header="851" w:footer="737" w:gutter="0"/>
          <w:pgNumType w:fmt="decimal"/>
          <w:cols w:space="425" w:num="1"/>
          <w:docGrid w:type="lines" w:linePitch="312" w:charSpace="0"/>
        </w:sectPr>
      </w:pPr>
      <w:r>
        <w:rPr>
          <w:rFonts w:hint="eastAsia" w:ascii="仿宋_GB2312" w:hAnsi="仿宋_GB2312" w:eastAsia="仿宋_GB2312" w:cs="仿宋_GB2312"/>
          <w:sz w:val="32"/>
          <w:szCs w:val="32"/>
          <w:lang w:val="en-US" w:eastAsia="zh-CN"/>
        </w:rPr>
        <w:t>附件</w:t>
      </w:r>
      <w:r>
        <w:rPr>
          <w:rFonts w:hint="default" w:ascii="仿宋_GB2312" w:hAnsi="仿宋_GB2312" w:eastAsia="仿宋_GB2312" w:cs="仿宋_GB2312"/>
          <w:sz w:val="32"/>
          <w:szCs w:val="32"/>
          <w:lang w:val="en-US" w:eastAsia="zh-CN"/>
        </w:rPr>
        <w:t>：2022年工作要点台账</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eastAsia" w:ascii="黑体" w:hAnsi="黑体" w:eastAsia="黑体" w:cs="黑体"/>
          <w:b w:val="0"/>
          <w:bCs w:val="0"/>
          <w:sz w:val="32"/>
          <w:szCs w:val="32"/>
          <w:lang w:val="en" w:eastAsia="zh-CN"/>
        </w:rPr>
      </w:pPr>
      <w:r>
        <w:rPr>
          <w:rFonts w:hint="eastAsia" w:ascii="黑体" w:hAnsi="黑体" w:eastAsia="黑体" w:cs="黑体"/>
          <w:b w:val="0"/>
          <w:bCs w:val="0"/>
          <w:sz w:val="32"/>
          <w:szCs w:val="32"/>
          <w:lang w:val="en" w:eastAsia="zh-CN"/>
        </w:rPr>
        <w:t>附件</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方正小标宋简体" w:hAnsi="方正小标宋简体" w:eastAsia="方正小标宋简体" w:cs="方正小标宋简体"/>
          <w:b w:val="0"/>
          <w:bCs w:val="0"/>
          <w:sz w:val="44"/>
          <w:szCs w:val="44"/>
          <w:lang w:val="en" w:eastAsia="zh-CN"/>
        </w:rPr>
      </w:pPr>
      <w:r>
        <w:rPr>
          <w:rFonts w:hint="eastAsia" w:ascii="方正小标宋简体" w:hAnsi="方正小标宋简体" w:eastAsia="方正小标宋简体" w:cs="方正小标宋简体"/>
          <w:sz w:val="44"/>
          <w:szCs w:val="44"/>
          <w:lang w:val="en-US" w:eastAsia="zh-CN"/>
        </w:rPr>
        <w:t>2022年工作要点台账</w:t>
      </w:r>
    </w:p>
    <w:tbl>
      <w:tblPr>
        <w:tblStyle w:val="15"/>
        <w:tblW w:w="140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4"/>
        <w:gridCol w:w="2020"/>
        <w:gridCol w:w="6735"/>
        <w:gridCol w:w="1050"/>
        <w:gridCol w:w="1027"/>
        <w:gridCol w:w="2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序号</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重点任务及重点项目</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工作目标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完成时限</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责任领导</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制定全市“十四五”乡村振兴和农业农村现代化规划</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出台相关文件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张克永</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牵头科站：发展规划科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健全乡村振兴战略推进机制</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督促各县（市、区）成立乡村五大振兴的工作专班和乡村建设行动专班，出台符合各地实际的乡村振兴建设行动方案和专项行动方案。开展2021年度乡村振兴实绩考核。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张克永</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牵头科站：秘书科，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强化乡村振兴示范引领</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抓好乡村振兴典型示范培育，鼓励示范乡镇、示范村通过整合涉农资金、吸引金融和社会资金参与乡村振兴。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张克永</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牵头科站：秘书科，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巩固拓展脱贫攻坚成果</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加大产业扶贫力度，促进脱贫地区农产品产销对接，配合开展“万企兴万村”行动，持续增加农民收入。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张克永</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牵头科站：发展规划科，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遏制耕地“非农化”、防止“非粮化”</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力争新增流转耕地“非粮化”现象得到有效遏制，按期整改的流转耕地“非粮化”问题稳步推进。</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张克永</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牵头科站：发展规划科，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千方百计稳定粮食生产</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全市粮食种植面积稳定在1000万亩以上。粮食生产能力稳定在90亿斤以上。</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马玉霞</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牵头科站：种植业科，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抓好粮食生产管理</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抓好全过程生产管理，落实各项关键措施，选育推广高产、优质、多抗粮食品种，集成推广绿色高产技术模式，开展绿色病虫害防控，推广测土配方施肥技术，落实粮食节约行动方案，狠抓防灾减灾和机收减损。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马玉霞</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牵头科站：种植业科，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开展粮食作物绿色高质高效行动创建</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实施粮食作物绿色高质高效行动创建项目，创建1个国家级、2个省级粮食作物高产高效示范区。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马玉霞</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牵头科站：种植业科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责任县市区：延津县、辉县市、封丘县、获嘉县、卫辉市、原阳县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积极扩大大豆生产</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建设获嘉县和新乡县大豆良种繁育基地。探索推广玉米大豆带状复合种植，逐步推动大豆玉米兼容发展。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马玉霞</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牵头科站：种植业科，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稳定生猪生产</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加快牧原集团、卫辉市鑫安养殖公司等养猪场项目，完善生猪产能逆周期调控机制，落实长效性支持政策，挂牌建立</w:t>
            </w:r>
            <w:r>
              <w:rPr>
                <w:rFonts w:hint="eastAsia" w:ascii="宋体" w:hAnsi="宋体" w:cs="宋体"/>
                <w:i w:val="0"/>
                <w:color w:val="000000"/>
                <w:kern w:val="0"/>
                <w:sz w:val="20"/>
                <w:szCs w:val="20"/>
                <w:u w:val="none"/>
                <w:lang w:val="en-US" w:eastAsia="zh-CN" w:bidi="ar"/>
              </w:rPr>
              <w:t>市</w:t>
            </w:r>
            <w:r>
              <w:rPr>
                <w:rFonts w:hint="eastAsia" w:ascii="宋体" w:hAnsi="宋体" w:eastAsia="宋体" w:cs="宋体"/>
                <w:i w:val="0"/>
                <w:color w:val="000000"/>
                <w:kern w:val="0"/>
                <w:sz w:val="20"/>
                <w:szCs w:val="20"/>
                <w:u w:val="none"/>
                <w:lang w:val="en-US" w:eastAsia="zh-CN" w:bidi="ar"/>
              </w:rPr>
              <w:t>级以上生猪产能调控基地，全市能繁母猪存栏稳定在20.5万头左右。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李广海</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牵头科站：畜牧科，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积极发展肉牛肉羊奶牛产业</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建设优质草畜基地，重点推进河南北盛牧业有限公司存栏5000头奶牛项目。全市新增奶牛畜位2000个、肉牛畜位500个以上，争创省级畜禽核心育种场。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李广海</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牵头科站：畜牧科，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积极实施粮改饲项目</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提升全株玉米青贮质量水平，发展优质饲草，建设黄河滩区草业带。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李广海</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牵头科站：畜牧</w:t>
            </w:r>
            <w:r>
              <w:rPr>
                <w:rFonts w:hint="eastAsia" w:ascii="宋体" w:hAnsi="宋体" w:cs="宋体"/>
                <w:i w:val="0"/>
                <w:color w:val="000000"/>
                <w:kern w:val="0"/>
                <w:sz w:val="20"/>
                <w:szCs w:val="20"/>
                <w:u w:val="none"/>
                <w:lang w:val="en-US" w:eastAsia="zh-CN" w:bidi="ar"/>
              </w:rPr>
              <w:t>站</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加快推进畜牧业规模化</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推动规模养殖场设施装备升级，提高大型养殖场智能化、中型养殖场机械化水平。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李广海</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牵头科站：畜牧科，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加强种畜禽场管理</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规范种畜禽生产经营许可行为，严格证件发放程序，完善现代畜禽良种繁育体系。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李广海</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牵头科站：畜牧科，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建设优质花生基地</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全市优质花生稳定在100万亩以上，高油高油酸花生占比50%以上。</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马玉霞</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牵头科站：种植业科，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责任县市区：沿黄、黄河故道县（市、区）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扩大油菜种植面积</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积极发展双低油菜种植，推广应用优质高产宜机收品种和配套栽培技术。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马玉霞</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牵头科站：种植业科，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责任县市区：沿黄县（市、区）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落实“菜篮子”市长负责制</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保障“菜篮子”农产品有效供给。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马玉霞</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牵头科站：市场科，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发展蔬菜生产</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蔬菜种植面积保持70万亩以上。</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马玉霞</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牵头科站：种植业科，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加强农产品仓储保鲜冷链物流设施建设</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开展农产品产地冷藏保鲜设施项目需求调查，谋划农产品产地冷藏保鲜项目，推进郑北农副产品冷链物流港二期项目，抓好应急生产保供，争创一批国家级农产品产地市场。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马玉霞</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牵头科站：市场科，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建设特色农产品基地</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全市优质专用小麦面积达到1</w:t>
            </w:r>
            <w:r>
              <w:rPr>
                <w:rFonts w:hint="default" w:ascii="宋体" w:hAnsi="宋体" w:cs="宋体"/>
                <w:i w:val="0"/>
                <w:color w:val="000000"/>
                <w:kern w:val="0"/>
                <w:sz w:val="20"/>
                <w:szCs w:val="20"/>
                <w:u w:val="none"/>
                <w:lang w:val="en" w:eastAsia="zh-CN" w:bidi="ar"/>
              </w:rPr>
              <w:t>6</w:t>
            </w:r>
            <w:r>
              <w:rPr>
                <w:rFonts w:hint="eastAsia" w:ascii="宋体" w:hAnsi="宋体" w:eastAsia="宋体" w:cs="宋体"/>
                <w:i w:val="0"/>
                <w:color w:val="000000"/>
                <w:kern w:val="0"/>
                <w:sz w:val="20"/>
                <w:szCs w:val="20"/>
                <w:u w:val="none"/>
                <w:lang w:val="en-US" w:eastAsia="zh-CN" w:bidi="ar"/>
              </w:rPr>
              <w:t>0万亩以上，打造全省优质小麦基地示范区。建设优质食用菌基地、优质林果基地、优质花木基地、优质中药材基地，、实施经济作物绿色高质高效创建项目，全市特色高效经济作物面积达到260万亩以上。</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马玉霞</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牵头科站：种植业科，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稳步发展渔业</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color w:val="000000"/>
                <w:sz w:val="20"/>
                <w:szCs w:val="20"/>
                <w:u w:val="none"/>
                <w:lang w:val="en"/>
              </w:rPr>
            </w:pPr>
            <w:r>
              <w:rPr>
                <w:rFonts w:hint="eastAsia" w:ascii="宋体" w:hAnsi="宋体" w:eastAsia="宋体" w:cs="宋体"/>
                <w:i w:val="0"/>
                <w:color w:val="000000"/>
                <w:kern w:val="0"/>
                <w:sz w:val="20"/>
                <w:szCs w:val="20"/>
                <w:u w:val="none"/>
                <w:lang w:val="en-US" w:eastAsia="zh-CN" w:bidi="ar"/>
              </w:rPr>
              <w:t>全市水产品总产量达到4</w:t>
            </w:r>
            <w:r>
              <w:rPr>
                <w:rFonts w:hint="eastAsia" w:ascii="宋体" w:hAnsi="宋体" w:cs="宋体"/>
                <w:i w:val="0"/>
                <w:color w:val="000000"/>
                <w:kern w:val="0"/>
                <w:sz w:val="20"/>
                <w:szCs w:val="20"/>
                <w:u w:val="none"/>
                <w:lang w:val="en-US" w:eastAsia="zh-CN" w:bidi="ar"/>
              </w:rPr>
              <w:t>.</w:t>
            </w:r>
            <w:r>
              <w:rPr>
                <w:rFonts w:hint="default" w:ascii="宋体" w:hAnsi="宋体" w:cs="宋体"/>
                <w:i w:val="0"/>
                <w:color w:val="000000"/>
                <w:kern w:val="0"/>
                <w:sz w:val="20"/>
                <w:szCs w:val="20"/>
                <w:u w:val="none"/>
                <w:lang w:val="en" w:eastAsia="zh-CN" w:bidi="ar"/>
              </w:rPr>
              <w:t>65</w:t>
            </w:r>
            <w:r>
              <w:rPr>
                <w:rFonts w:hint="eastAsia" w:ascii="宋体" w:hAnsi="宋体" w:eastAsia="宋体" w:cs="宋体"/>
                <w:i w:val="0"/>
                <w:color w:val="000000"/>
                <w:kern w:val="0"/>
                <w:sz w:val="20"/>
                <w:szCs w:val="20"/>
                <w:u w:val="none"/>
                <w:lang w:val="en-US" w:eastAsia="zh-CN" w:bidi="ar"/>
              </w:rPr>
              <w:t>万吨</w:t>
            </w:r>
            <w:r>
              <w:rPr>
                <w:rFonts w:hint="eastAsia" w:ascii="宋体" w:hAnsi="宋体" w:cs="宋体"/>
                <w:i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李广海</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牵头科站：水产渔政科，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创建现代农业产业园</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推进现代农业产业园建设，争创国家农业现代化示范区。重点抓好国家现代农业产业园和省级现代农业产业园项目建设，指导各县（市、区）开展县级产业园创建，新增省级现代农业产业园1个。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张克永</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牵头科站：发展规划科，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建设农业产业强镇</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新增国家级农业产业强镇1个。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张克永</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牵头科站：产业发展科，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发展“一村一品”</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积极争创国家级、省级“一村一品”示范村镇。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张克永</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w:t>
            </w:r>
            <w:r>
              <w:rPr>
                <w:rFonts w:hint="eastAsia" w:ascii="宋体" w:hAnsi="宋体" w:cs="宋体"/>
                <w:i w:val="0"/>
                <w:color w:val="000000"/>
                <w:kern w:val="0"/>
                <w:sz w:val="20"/>
                <w:szCs w:val="20"/>
                <w:u w:val="none"/>
                <w:lang w:val="en-US" w:eastAsia="zh-CN" w:bidi="ar"/>
              </w:rPr>
              <w:t>产业发展科</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做大做强农业产业化龙头企业</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新增省级农业产业化龙头企业2家，总量达到40家以上。</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张克永</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牵头科站：产业发展科，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配合开展“万人助万企”活动</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为企业纾难解困。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张克永</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牵头科站：产业发展科，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完善龙头企业与农户利益联结关系</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建立完善“龙头企业+合作社+基地+农户”等组织形式。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张克永</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牵头科站：产业发展科，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发展休闲农业</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争创全国休闲农业重点县，遴选推介美丽休闲乡村和乡村休闲旅游精品景点线路。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张克永</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牵头科站：产业发展科，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制修订地方标准</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制修订农业地方标准6项以上。</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曲当良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牵头科站：监管科，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责任县市区：各标准制修订相关单位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培育农业精品品牌</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新增市级以上农产品品牌5个</w:t>
            </w:r>
            <w:r>
              <w:rPr>
                <w:rFonts w:hint="eastAsia" w:ascii="宋体" w:hAnsi="宋体" w:cs="宋体"/>
                <w:i w:val="0"/>
                <w:color w:val="000000"/>
                <w:kern w:val="0"/>
                <w:sz w:val="20"/>
                <w:szCs w:val="20"/>
                <w:u w:val="none"/>
                <w:lang w:val="en-US" w:eastAsia="zh-CN" w:bidi="ar"/>
              </w:rPr>
              <w:t>，加快</w:t>
            </w:r>
            <w:r>
              <w:rPr>
                <w:rFonts w:hint="eastAsia" w:ascii="宋体" w:hAnsi="宋体" w:eastAsia="宋体" w:cs="宋体"/>
                <w:i w:val="0"/>
                <w:color w:val="000000"/>
                <w:kern w:val="0"/>
                <w:sz w:val="20"/>
                <w:szCs w:val="20"/>
                <w:u w:val="none"/>
                <w:lang w:val="en-US" w:eastAsia="zh-CN" w:bidi="ar"/>
              </w:rPr>
              <w:t>打造“豫农优品”品牌</w:t>
            </w:r>
            <w:r>
              <w:rPr>
                <w:rFonts w:hint="eastAsia" w:ascii="宋体" w:hAnsi="宋体" w:cs="宋体"/>
                <w:i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马玉霞</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牵头科站：市场科，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积极发展绿色食品</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推进绿色、有机、地理标志农产品认证登记，新增“三品一标”认证产品10个以上。抓好绿色食品原料标准化生产基地创建。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曲当良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牵头科站：农检中心，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建立农业育种产业科研创新公共平台</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支持神农种业实验室平原示范区总部、国家生物育种产业创新中心等项目建设。</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马玉霞</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牵头科站：科教科，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加强种质资源保护利用</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推进农作物、畜禽、水产养殖和食用菌种质资源普查。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马玉霞</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牵头科站：农资农机科，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开展种业创新攻关</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推广优质、高效农作物新品种10个以上。</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马玉霞</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牵头科站：种子站，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扶优扶强种业企业</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推动构建商业化育种体系，争取</w:t>
            </w:r>
            <w:r>
              <w:rPr>
                <w:rFonts w:hint="eastAsia" w:ascii="宋体" w:hAnsi="宋体" w:eastAsia="宋体" w:cs="宋体"/>
                <w:i w:val="0"/>
                <w:color w:val="000000"/>
                <w:kern w:val="0"/>
                <w:sz w:val="20"/>
                <w:szCs w:val="20"/>
                <w:u w:val="none"/>
                <w:lang w:val="en-US" w:eastAsia="zh-CN" w:bidi="ar"/>
              </w:rPr>
              <w:t>我市</w:t>
            </w:r>
            <w:r>
              <w:rPr>
                <w:rFonts w:hint="default" w:ascii="宋体" w:hAnsi="宋体" w:eastAsia="宋体" w:cs="宋体"/>
                <w:i w:val="0"/>
                <w:color w:val="000000"/>
                <w:kern w:val="0"/>
                <w:sz w:val="20"/>
                <w:szCs w:val="20"/>
                <w:u w:val="none"/>
                <w:lang w:val="en-US" w:eastAsia="zh-CN" w:bidi="ar"/>
              </w:rPr>
              <w:t>种业企业进入国家</w:t>
            </w:r>
            <w:r>
              <w:rPr>
                <w:rFonts w:hint="eastAsia" w:ascii="宋体" w:hAnsi="宋体" w:eastAsia="宋体" w:cs="宋体"/>
                <w:i w:val="0"/>
                <w:color w:val="000000"/>
                <w:kern w:val="0"/>
                <w:sz w:val="20"/>
                <w:szCs w:val="20"/>
                <w:u w:val="none"/>
                <w:lang w:val="en-US" w:eastAsia="zh-CN" w:bidi="ar"/>
              </w:rPr>
              <w:t>级、省级</w:t>
            </w:r>
            <w:r>
              <w:rPr>
                <w:rFonts w:hint="default" w:ascii="宋体" w:hAnsi="宋体" w:eastAsia="宋体" w:cs="宋体"/>
                <w:i w:val="0"/>
                <w:color w:val="000000"/>
                <w:kern w:val="0"/>
                <w:sz w:val="20"/>
                <w:szCs w:val="20"/>
                <w:u w:val="none"/>
                <w:lang w:val="en-US" w:eastAsia="zh-CN" w:bidi="ar"/>
              </w:rPr>
              <w:t>阵型管理</w:t>
            </w:r>
            <w:r>
              <w:rPr>
                <w:rFonts w:hint="eastAsia" w:ascii="宋体" w:hAnsi="宋体" w:eastAsia="宋体" w:cs="宋体"/>
                <w:i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马玉霞</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牵头科站：农资农机科，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提升良种繁育能力</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全市建立农作物良种繁育基地110万亩，指导支持县（市、区）创建国家级、省级育种制种基地、制种大县和良种繁育基地。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马玉霞</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牵头科站：种子站，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健全完善农技推广服务体系</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谋划争取基层农技推广体系改革与建设补助项目，农业主推技术到位率超过95%，建立农业科技试验示范基地10个以上。</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马玉霞</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牵头科站：科教科，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推进“人人持证、技能河南”建设</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实施高素质农民培育计划和农村实用人才培训工程，逐步实现农村劳动力持证比例大幅度提高。</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宋培成</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牵头科站：人事科，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推动智慧农业发展</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谋划、布局“黄淮流域优质小麦智慧化工程”项目，实施数字乡村建设行动，加快延津小麦国家数字农业试点项目实施落地，开展“一村九园”建设。</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马玉霞</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牵头科站：市场科，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高质量建设高标准农田</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新建重建高标准农田52</w:t>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万亩，推进新乡县、延津县100万亩全域高标准农田高效节水灌溉项目建设，重点打造15万亩智慧型高效节水灌溉示范区，各县（市、区）建设不少于1万亩集中连片高效节水灌溉示范区。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李武林</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牵头科站：农田建设科，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抓好损毁高标准农田恢复重建</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6月底前全面完成Ⅱ类水毁高标准农田恢复重建，年底前I类水毁高标准农田工程建设大头落地。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李武林</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牵头科站：农田建设科，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健全高标准农田建后管护长效机制</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持续深化农田水利设施整改成果，加强日常督促检查，组织开展基层调研暗访暗查，及时摸排整改苗头性倾向性问题。</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李武林</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牵头科站：农田建设科，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持续加强耕地质量建设与保护</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综合运用深耕深翻、秸秆还田、平衡施肥、增施有机肥、施用土壤调理剂等农业措施，稳步提升耕地质量和地力水平。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李武林</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责任</w:t>
            </w:r>
            <w:r>
              <w:rPr>
                <w:rFonts w:hint="eastAsia" w:ascii="宋体" w:hAnsi="宋体" w:eastAsia="宋体" w:cs="宋体"/>
                <w:i w:val="0"/>
                <w:color w:val="000000"/>
                <w:kern w:val="0"/>
                <w:sz w:val="20"/>
                <w:szCs w:val="20"/>
                <w:u w:val="none"/>
                <w:lang w:val="en-US" w:eastAsia="zh-CN" w:bidi="ar"/>
              </w:rPr>
              <w:t>科站：</w:t>
            </w:r>
            <w:r>
              <w:rPr>
                <w:rFonts w:hint="eastAsia" w:ascii="宋体" w:hAnsi="宋体" w:cs="宋体"/>
                <w:i w:val="0"/>
                <w:color w:val="000000"/>
                <w:kern w:val="0"/>
                <w:sz w:val="20"/>
                <w:szCs w:val="20"/>
                <w:u w:val="none"/>
                <w:lang w:val="en-US" w:eastAsia="zh-CN" w:bidi="ar"/>
              </w:rPr>
              <w:t>农田建设科、</w:t>
            </w:r>
            <w:r>
              <w:rPr>
                <w:rFonts w:hint="eastAsia" w:ascii="宋体" w:hAnsi="宋体" w:eastAsia="宋体" w:cs="宋体"/>
                <w:i w:val="0"/>
                <w:color w:val="000000"/>
                <w:kern w:val="0"/>
                <w:sz w:val="20"/>
                <w:szCs w:val="20"/>
                <w:u w:val="none"/>
                <w:lang w:val="en-US" w:eastAsia="zh-CN" w:bidi="ar"/>
              </w:rPr>
              <w:t>土肥站，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开展耕地土壤污染防治</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完善耕地土壤污染预警制度，安全利用类耕地100%实施安全利用措施，严格管控类耕地100%实施风险管控措施。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李武林</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牵头科站：能源站，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推进农村人居环境整治</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建省级“千万工程”示范村60个，确保5月底前实现村庄净起来、绿起来、亮起来、美起来。稳步推进农村“厕所革命”，新完成6万户、150个整村推进改厕任务。完善农村人居环境整治长效机制。争创美丽乡村示范县、美丽小镇、“四美乡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李广海</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牵头科站：社会事业科，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提升农机装备水平</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落实农机装备产业链链长和产业联盟“双长制”，培育农机装备先进制造业集群1-2个，全市农机总动力提升至</w:t>
            </w:r>
            <w:r>
              <w:rPr>
                <w:rFonts w:hint="eastAsia" w:ascii="宋体" w:hAnsi="宋体" w:cs="宋体"/>
                <w:i w:val="0"/>
                <w:color w:val="000000"/>
                <w:kern w:val="0"/>
                <w:sz w:val="20"/>
                <w:szCs w:val="20"/>
                <w:u w:val="none"/>
                <w:lang w:val="en-US" w:eastAsia="zh-CN" w:bidi="ar"/>
              </w:rPr>
              <w:t>690</w:t>
            </w:r>
            <w:r>
              <w:rPr>
                <w:rFonts w:hint="eastAsia" w:ascii="宋体" w:hAnsi="宋体" w:eastAsia="宋体" w:cs="宋体"/>
                <w:i w:val="0"/>
                <w:color w:val="000000"/>
                <w:kern w:val="0"/>
                <w:sz w:val="20"/>
                <w:szCs w:val="20"/>
                <w:u w:val="none"/>
                <w:lang w:val="en-US" w:eastAsia="zh-CN" w:bidi="ar"/>
              </w:rPr>
              <w:t>万千瓦以上，农业综合机械化水平达到9</w:t>
            </w:r>
            <w:r>
              <w:rPr>
                <w:rFonts w:hint="default" w:ascii="宋体" w:hAnsi="宋体" w:cs="宋体"/>
                <w:i w:val="0"/>
                <w:color w:val="000000"/>
                <w:kern w:val="0"/>
                <w:sz w:val="20"/>
                <w:szCs w:val="20"/>
                <w:u w:val="none"/>
                <w:lang w:val="en" w:eastAsia="zh-CN" w:bidi="ar"/>
              </w:rPr>
              <w:t>0</w:t>
            </w:r>
            <w:r>
              <w:rPr>
                <w:rFonts w:hint="eastAsia" w:ascii="宋体" w:hAnsi="宋体" w:eastAsia="宋体" w:cs="宋体"/>
                <w:i w:val="0"/>
                <w:color w:val="000000"/>
                <w:kern w:val="0"/>
                <w:sz w:val="20"/>
                <w:szCs w:val="20"/>
                <w:u w:val="none"/>
                <w:lang w:val="en-US" w:eastAsia="zh-CN" w:bidi="ar"/>
              </w:rPr>
              <w:t>%以上，争创全国主要农作物全程机械化示范县，争创国家级、省级平安农机示范市、示范县、示范乡（镇）、示范合作社和岗位标兵。</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杨义红</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牵头科站：农机中心，农机站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稳慎推进农村宅基地制度改革</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抓好长垣市农村宅基地制度改革试点。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张克永</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牵头科站：合作经济科，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责任县市区：长垣市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做好</w:t>
            </w:r>
            <w:r>
              <w:rPr>
                <w:rFonts w:hint="eastAsia" w:ascii="宋体" w:hAnsi="宋体" w:eastAsia="宋体" w:cs="宋体"/>
                <w:i w:val="0"/>
                <w:color w:val="000000"/>
                <w:kern w:val="0"/>
                <w:sz w:val="20"/>
                <w:szCs w:val="20"/>
                <w:u w:val="none"/>
                <w:lang w:val="en-US" w:eastAsia="zh-CN" w:bidi="ar"/>
              </w:rPr>
              <w:t>农村乱占耕地建住宅类房屋专项整治</w:t>
            </w:r>
            <w:r>
              <w:rPr>
                <w:rFonts w:hint="eastAsia" w:ascii="宋体" w:hAnsi="宋体" w:cs="宋体"/>
                <w:i w:val="0"/>
                <w:color w:val="000000"/>
                <w:kern w:val="0"/>
                <w:sz w:val="20"/>
                <w:szCs w:val="20"/>
                <w:u w:val="none"/>
                <w:lang w:val="en-US" w:eastAsia="zh-CN" w:bidi="ar"/>
              </w:rPr>
              <w:t>相关工作</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妥善化解宅基地历史遗留问题。贯彻落实农村宅基地和村民自建住房管理办法，规范农村宅基地和农民自建房管理。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张克永</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牵头科站：合作经济科，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巩固完善农村集体产权制度改革</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多途径发展壮大集体经济，基本消除集体经济空壳村，集体收入5万元以上的村稳定在85%以上。</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张克永</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牵头科站：合作经济科，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持续深化承包地“三权分置”改革</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强农村土地承包管理和服务，推动各地建立健全工商企业等社会资本流转土地经营权资格审查、项目审核和风险防范制度机制,引导农村土地经营权有序流转，促进土地规范流转和适度规模经营。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张克永</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牵头科站：政策改革科，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培育家庭农场</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新认定县级以上示范家庭农场50家以上。争创家庭农场示范市（县）。</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张克永</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牵头科站：政策改革科，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发展壮大农民合作社</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争创农民合作社质量提升整县推进试点。全市农民合作社稳定在1.26万家以上，争创省级以上示范合作社。</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张克永</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牵头科站：合作经济科，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53</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推进秸秆综合利用</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全力抓好夏秋季集中禁烧和全年常态化秸秆禁烧，全市秸秆综合利用率达到91.5%以上，争创国家秸秆综合利用重点县，项目重点县秸秆综合利用率稳定在92%以上。</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李武林</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牵头科站：能源站，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r>
              <w:rPr>
                <w:rFonts w:hint="eastAsia" w:ascii="宋体" w:hAnsi="宋体" w:cs="宋体"/>
                <w:i w:val="0"/>
                <w:color w:val="000000"/>
                <w:kern w:val="0"/>
                <w:sz w:val="20"/>
                <w:szCs w:val="20"/>
                <w:u w:val="none"/>
                <w:lang w:val="en-US" w:eastAsia="zh-CN" w:bidi="ar"/>
              </w:rPr>
              <w:t>4</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加强畜禽养殖废弃物资源化利用</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加快培育畜禽粪肥还田利用社会化服务组织。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李武林</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牵头科站：资源利用科，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55</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推进生态农场建设</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争创省级生态农场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李武林</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牵头科站：能源站，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56</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绿色种养循环农业试点建设</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谋划实施农业面源污染治理项目、绿色种养循环农业试点续建项目。</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李武林</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牵头科站：资源利用科，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57</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开展化肥农药减量行动</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推进化学农药减量，</w:t>
            </w:r>
            <w:r>
              <w:rPr>
                <w:rFonts w:hint="eastAsia" w:ascii="宋体" w:hAnsi="宋体" w:cs="宋体"/>
                <w:i w:val="0"/>
                <w:color w:val="000000"/>
                <w:kern w:val="0"/>
                <w:sz w:val="20"/>
                <w:szCs w:val="20"/>
                <w:u w:val="none"/>
                <w:lang w:val="en-US" w:eastAsia="zh-CN" w:bidi="ar"/>
              </w:rPr>
              <w:t>争创</w:t>
            </w:r>
            <w:r>
              <w:rPr>
                <w:rFonts w:hint="eastAsia" w:ascii="宋体" w:hAnsi="宋体" w:eastAsia="宋体" w:cs="宋体"/>
                <w:i w:val="0"/>
                <w:color w:val="000000"/>
                <w:kern w:val="0"/>
                <w:sz w:val="20"/>
                <w:szCs w:val="20"/>
                <w:u w:val="none"/>
                <w:lang w:val="en-US" w:eastAsia="zh-CN" w:bidi="ar"/>
              </w:rPr>
              <w:t>化肥减量增效示范县。推广新农药、新药械等绿色防控技术措施。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马玉霞</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牵头科站：农资农机科、</w:t>
            </w:r>
            <w:r>
              <w:rPr>
                <w:rFonts w:hint="eastAsia" w:ascii="宋体" w:hAnsi="宋体" w:cs="宋体"/>
                <w:i w:val="0"/>
                <w:color w:val="000000"/>
                <w:kern w:val="0"/>
                <w:sz w:val="20"/>
                <w:szCs w:val="20"/>
                <w:u w:val="none"/>
                <w:lang w:val="en-US" w:eastAsia="zh-CN" w:bidi="ar"/>
              </w:rPr>
              <w:t>种植业科、</w:t>
            </w:r>
            <w:r>
              <w:rPr>
                <w:rFonts w:hint="eastAsia" w:ascii="宋体" w:hAnsi="宋体" w:eastAsia="宋体" w:cs="宋体"/>
                <w:i w:val="0"/>
                <w:color w:val="000000"/>
                <w:kern w:val="0"/>
                <w:sz w:val="20"/>
                <w:szCs w:val="20"/>
                <w:u w:val="none"/>
                <w:lang w:val="en-US" w:eastAsia="zh-CN" w:bidi="ar"/>
              </w:rPr>
              <w:t>植保站、土肥站，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58</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实施兽用抗菌药使用减量化行动</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组织开展养殖场减抗行动检查，加强试点场创建。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李广海</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牵头科站：饲料兽药科，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59</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发展减碳增汇型农业</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探索建立农业农村减排固碳监测评估体系。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李武林</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w:t>
            </w:r>
            <w:r>
              <w:rPr>
                <w:rFonts w:hint="eastAsia" w:ascii="宋体" w:hAnsi="宋体" w:cs="宋体"/>
                <w:i w:val="0"/>
                <w:color w:val="000000"/>
                <w:kern w:val="0"/>
                <w:sz w:val="20"/>
                <w:szCs w:val="20"/>
                <w:u w:val="none"/>
                <w:lang w:val="en-US" w:eastAsia="zh-CN" w:bidi="ar"/>
              </w:rPr>
              <w:t>资源利用科</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60</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推进农业废弃物回收处置</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遴选一批重点覆膜大县整县推进加厚地膜使用和可降解地膜应用，打击非标农膜入市下田。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李武林</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牵头科站：能源站，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61</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会同开展“四水同治”行动</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持续推进中央生态环境保护督查问题整改。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李武林</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牵头科站：资源利用科，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62</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加强外来入侵物种防控</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加强“加拿大一枝黄花”等外来入侵物种防控。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李武林</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牵头科站：资源利用科，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63</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提升乡村治理效能</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持续完善推广积分制、清单制等治理方式，探索建立“互联网+”治理模式，配合开展平安乡村建设、“三零”创建、扫黑除恶、非法宗教整治、“同心圆·共发展”等工作。</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张克永</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牵头科站：合作经济科，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r>
              <w:rPr>
                <w:rFonts w:hint="eastAsia" w:ascii="宋体" w:hAnsi="宋体" w:cs="宋体"/>
                <w:i w:val="0"/>
                <w:color w:val="000000"/>
                <w:kern w:val="0"/>
                <w:sz w:val="20"/>
                <w:szCs w:val="20"/>
                <w:u w:val="none"/>
                <w:lang w:val="en-US" w:eastAsia="zh-CN" w:bidi="ar"/>
              </w:rPr>
              <w:t>4</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推进农村精神文明建设</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持续做好中原农耕文化遗产发掘保护传承，配合做好大运河河南段文化保护传承利用和黄河文化宣传保护，指导开展农民文化活动和具有农村特色的体育活动，推介一批文明乡风建设典型案例。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李广海</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牵头科站：社会事业科，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r>
              <w:rPr>
                <w:rFonts w:hint="eastAsia" w:ascii="宋体" w:hAnsi="宋体" w:cs="宋体"/>
                <w:i w:val="0"/>
                <w:color w:val="000000"/>
                <w:kern w:val="0"/>
                <w:sz w:val="20"/>
                <w:szCs w:val="20"/>
                <w:u w:val="none"/>
                <w:lang w:val="en-US" w:eastAsia="zh-CN" w:bidi="ar"/>
              </w:rPr>
              <w:t>5</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制定应对极端气象灾害应急预案</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加强监测预警，科学防范低温冻害、干旱洪涝、地震等灾害。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马玉霞</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牵头科站：种植业科，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r>
              <w:rPr>
                <w:rFonts w:hint="eastAsia" w:ascii="宋体" w:hAnsi="宋体" w:cs="宋体"/>
                <w:i w:val="0"/>
                <w:color w:val="000000"/>
                <w:kern w:val="0"/>
                <w:sz w:val="20"/>
                <w:szCs w:val="20"/>
                <w:u w:val="none"/>
                <w:lang w:val="en-US" w:eastAsia="zh-CN" w:bidi="ar"/>
              </w:rPr>
              <w:t>6</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强化重大病虫害防控</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重大病虫中短期预报准确率达到85%以上，单病虫危害损失率控制在5%以内。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马玉霞</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牵头科站：植保站，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r>
              <w:rPr>
                <w:rFonts w:hint="eastAsia" w:ascii="宋体" w:hAnsi="宋体" w:cs="宋体"/>
                <w:i w:val="0"/>
                <w:color w:val="000000"/>
                <w:kern w:val="0"/>
                <w:sz w:val="20"/>
                <w:szCs w:val="20"/>
                <w:u w:val="none"/>
                <w:lang w:val="en-US" w:eastAsia="zh-CN" w:bidi="ar"/>
              </w:rPr>
              <w:t>7</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抓好非洲猪瘟等重大动物疫病防控</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严防发生区域性重大动物疫情，推动构建“分区防控、无疫小区建设、净化场创建”三位一体动物疫病区域化管理新格局。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李广海</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牵头科站：兽医科，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r>
              <w:rPr>
                <w:rFonts w:hint="eastAsia" w:ascii="宋体" w:hAnsi="宋体" w:cs="宋体"/>
                <w:i w:val="0"/>
                <w:color w:val="000000"/>
                <w:kern w:val="0"/>
                <w:sz w:val="20"/>
                <w:szCs w:val="20"/>
                <w:u w:val="none"/>
                <w:lang w:val="en-US" w:eastAsia="zh-CN" w:bidi="ar"/>
              </w:rPr>
              <w:t>8</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强化农产品质量安全监管</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全面推进食用农产品承诺达标合格证制度，纳入试行范围主体开具率达70%以上。严防发生重大农产品质量安全事件。深化农产品质量安全县创建，争创国家级农产品质量安全县。</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曲当良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牵头科站：监管科，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69</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加强农业转基因各环节监管</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有序规范农业转基因研究、试验、生产、经营、进口、加工活动。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马玉霞</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牵头科站：科教科，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r>
              <w:rPr>
                <w:rFonts w:hint="eastAsia" w:ascii="宋体" w:hAnsi="宋体" w:cs="宋体"/>
                <w:i w:val="0"/>
                <w:color w:val="000000"/>
                <w:kern w:val="0"/>
                <w:sz w:val="20"/>
                <w:szCs w:val="20"/>
                <w:u w:val="none"/>
                <w:lang w:val="en-US" w:eastAsia="zh-CN" w:bidi="ar"/>
              </w:rPr>
              <w:t>0</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加强农业农村领域安全生产</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深入推进安全生产专项整治三年行动，强化农机、渔业、农药、饲料兽药、畜禽养殖、畜禽屠宰、农村沼气等重点行业安全生产。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宋培成</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牵头科站：办公室，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r>
              <w:rPr>
                <w:rFonts w:hint="eastAsia" w:ascii="宋体" w:hAnsi="宋体" w:cs="宋体"/>
                <w:i w:val="0"/>
                <w:color w:val="000000"/>
                <w:kern w:val="0"/>
                <w:sz w:val="20"/>
                <w:szCs w:val="20"/>
                <w:u w:val="none"/>
                <w:lang w:val="en-US" w:eastAsia="zh-CN" w:bidi="ar"/>
              </w:rPr>
              <w:t>1</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实施多元化投入保障行动</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积极谋划项目，多渠道筹措资金，扎实推动项目建设。</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宋培成</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牵头科站：计划财务科，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r>
              <w:rPr>
                <w:rFonts w:hint="eastAsia" w:ascii="宋体" w:hAnsi="宋体" w:cs="宋体"/>
                <w:i w:val="0"/>
                <w:color w:val="000000"/>
                <w:kern w:val="0"/>
                <w:sz w:val="20"/>
                <w:szCs w:val="20"/>
                <w:u w:val="none"/>
                <w:lang w:val="en-US" w:eastAsia="zh-CN" w:bidi="ar"/>
              </w:rPr>
              <w:t>2</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坚持党建引领</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落实党建工作责任制，加强基层党组织建设。大力开展文明创建。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宋培成</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牵头科站：机关党办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r>
              <w:rPr>
                <w:rFonts w:hint="eastAsia" w:ascii="宋体" w:hAnsi="宋体" w:cs="宋体"/>
                <w:i w:val="0"/>
                <w:color w:val="000000"/>
                <w:kern w:val="0"/>
                <w:sz w:val="20"/>
                <w:szCs w:val="20"/>
                <w:u w:val="none"/>
                <w:lang w:val="en-US" w:eastAsia="zh-CN" w:bidi="ar"/>
              </w:rPr>
              <w:t>3</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坚持依法行政</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加强规范性文件合法性审核和备案审查，开展普法宣传教育，健全完善普法责任制，规范行政执法行为。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宋培成</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牵头科站：法规科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r>
              <w:rPr>
                <w:rFonts w:hint="eastAsia" w:ascii="宋体" w:hAnsi="宋体" w:cs="宋体"/>
                <w:i w:val="0"/>
                <w:color w:val="000000"/>
                <w:kern w:val="0"/>
                <w:sz w:val="20"/>
                <w:szCs w:val="20"/>
                <w:u w:val="none"/>
                <w:lang w:val="en-US" w:eastAsia="zh-CN" w:bidi="ar"/>
              </w:rPr>
              <w:t>4</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优化营商环境</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持续深化“放管服”改革，落实“一网通办”前提下“最多跑一次”改革，强化行政审批制度化、标准化、规范化管理，提升政务服务水平。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宋培成</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牵头科站：法规科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r>
              <w:rPr>
                <w:rFonts w:hint="eastAsia" w:ascii="宋体" w:hAnsi="宋体" w:cs="宋体"/>
                <w:i w:val="0"/>
                <w:color w:val="000000"/>
                <w:kern w:val="0"/>
                <w:sz w:val="20"/>
                <w:szCs w:val="20"/>
                <w:u w:val="none"/>
                <w:lang w:val="en-US" w:eastAsia="zh-CN" w:bidi="ar"/>
              </w:rPr>
              <w:t>5</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持续推进农业综合行政执法改革</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健全市县农业综合执法体系，加强农业综合执法培训，提升执法办案水平，加大执法办案力度，严厉打击各类违法行为。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宋培成</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牵头科站：</w:t>
            </w:r>
            <w:r>
              <w:rPr>
                <w:rFonts w:hint="eastAsia" w:ascii="宋体" w:hAnsi="宋体" w:cs="宋体"/>
                <w:i w:val="0"/>
                <w:color w:val="000000"/>
                <w:kern w:val="0"/>
                <w:sz w:val="20"/>
                <w:szCs w:val="20"/>
                <w:u w:val="none"/>
                <w:lang w:val="en-US" w:eastAsia="zh-CN" w:bidi="ar"/>
              </w:rPr>
              <w:t>法规科、</w:t>
            </w:r>
            <w:r>
              <w:rPr>
                <w:rFonts w:hint="eastAsia" w:ascii="宋体" w:hAnsi="宋体" w:eastAsia="宋体" w:cs="宋体"/>
                <w:i w:val="0"/>
                <w:color w:val="000000"/>
                <w:kern w:val="0"/>
                <w:sz w:val="20"/>
                <w:szCs w:val="20"/>
                <w:u w:val="none"/>
                <w:lang w:val="en-US" w:eastAsia="zh-CN" w:bidi="ar"/>
              </w:rPr>
              <w:t>执法支队</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责任县市区：各县（市）</w:t>
            </w:r>
            <w:r>
              <w:rPr>
                <w:rFonts w:hint="eastAsia" w:ascii="宋体" w:hAnsi="宋体" w:cs="宋体"/>
                <w:i w:val="0"/>
                <w:color w:val="000000"/>
                <w:kern w:val="0"/>
                <w:sz w:val="20"/>
                <w:szCs w:val="20"/>
                <w:u w:val="none"/>
                <w:lang w:val="en-US" w:eastAsia="zh-CN" w:bidi="ar"/>
              </w:rPr>
              <w:t>、平原示范区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r>
              <w:rPr>
                <w:rFonts w:hint="eastAsia" w:ascii="宋体" w:hAnsi="宋体" w:cs="宋体"/>
                <w:i w:val="0"/>
                <w:color w:val="000000"/>
                <w:kern w:val="0"/>
                <w:sz w:val="20"/>
                <w:szCs w:val="20"/>
                <w:u w:val="none"/>
                <w:lang w:val="en-US" w:eastAsia="zh-CN" w:bidi="ar"/>
              </w:rPr>
              <w:t>6</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推进农业农村系统事业单位重塑性改革</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基本实现事业单位整体重构重塑，事业单位党的领导全面加强，结构布局更加优化，职能定位更加清晰，编制配置更加科学，制度机制更加健全，动力活力充分激发，服务保障能力明显提升。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宋培成</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牵头科站：人事科，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责任县市区：各县（市、区）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77</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开展作风能力建设年活动</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开展纪律作风大整顿。实现旗帜鲜明讲政治的能力作风明显增强，联系服务群众的能力作风明显增强，深入调查研究的能力作风明显增强，防范化解重大风险的能力作风明显增强，推进改革创新的能力作风明显增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宋培成</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牵头科站：机关党办</w:t>
            </w:r>
          </w:p>
        </w:tc>
      </w:tr>
    </w:tbl>
    <w:p>
      <w:pPr>
        <w:spacing w:line="120" w:lineRule="exact"/>
        <w:rPr>
          <w:rFonts w:hint="eastAsia" w:ascii="仿宋_GB2312" w:hAnsi="仿宋_GB2312" w:eastAsia="仿宋_GB2312" w:cs="仿宋_GB2312"/>
          <w:b w:val="0"/>
          <w:bCs w:val="0"/>
          <w:color w:val="000000"/>
          <w:sz w:val="30"/>
          <w:szCs w:val="30"/>
          <w:u w:val="single"/>
        </w:rPr>
      </w:pPr>
    </w:p>
    <w:p>
      <w:pPr>
        <w:spacing w:line="120" w:lineRule="exact"/>
        <w:rPr>
          <w:rFonts w:hint="eastAsia" w:ascii="仿宋_GB2312" w:hAnsi="仿宋_GB2312" w:eastAsia="仿宋_GB2312" w:cs="仿宋_GB2312"/>
          <w:b w:val="0"/>
          <w:bCs w:val="0"/>
          <w:color w:val="000000"/>
          <w:sz w:val="30"/>
          <w:szCs w:val="30"/>
          <w:u w:val="single"/>
        </w:rPr>
      </w:pPr>
    </w:p>
    <w:p>
      <w:pPr>
        <w:spacing w:line="120" w:lineRule="exact"/>
        <w:rPr>
          <w:rFonts w:hint="eastAsia" w:ascii="仿宋_GB2312" w:hAnsi="仿宋_GB2312" w:eastAsia="仿宋_GB2312" w:cs="仿宋_GB2312"/>
          <w:b w:val="0"/>
          <w:bCs w:val="0"/>
          <w:color w:val="000000"/>
          <w:sz w:val="30"/>
          <w:szCs w:val="30"/>
          <w:u w:val="single"/>
        </w:rPr>
      </w:pPr>
    </w:p>
    <w:p>
      <w:pPr>
        <w:spacing w:line="120" w:lineRule="exact"/>
        <w:rPr>
          <w:rFonts w:hint="eastAsia" w:ascii="仿宋_GB2312" w:hAnsi="仿宋_GB2312" w:eastAsia="仿宋_GB2312" w:cs="仿宋_GB2312"/>
          <w:b w:val="0"/>
          <w:bCs w:val="0"/>
          <w:color w:val="000000"/>
          <w:sz w:val="30"/>
          <w:szCs w:val="30"/>
          <w:u w:val="single"/>
        </w:rPr>
      </w:pPr>
    </w:p>
    <w:p>
      <w:pPr>
        <w:spacing w:line="120" w:lineRule="exact"/>
        <w:rPr>
          <w:rFonts w:hint="eastAsia" w:ascii="仿宋_GB2312" w:hAnsi="仿宋_GB2312" w:eastAsia="仿宋_GB2312" w:cs="仿宋_GB2312"/>
          <w:b w:val="0"/>
          <w:bCs w:val="0"/>
          <w:color w:val="000000"/>
          <w:sz w:val="30"/>
          <w:szCs w:val="30"/>
          <w:u w:val="single"/>
        </w:rPr>
      </w:pPr>
    </w:p>
    <w:p>
      <w:pPr>
        <w:spacing w:line="120" w:lineRule="exact"/>
        <w:rPr>
          <w:rFonts w:hint="eastAsia" w:ascii="仿宋_GB2312" w:hAnsi="仿宋_GB2312" w:eastAsia="仿宋_GB2312" w:cs="仿宋_GB2312"/>
          <w:b w:val="0"/>
          <w:bCs w:val="0"/>
          <w:color w:val="000000"/>
          <w:sz w:val="30"/>
          <w:szCs w:val="30"/>
          <w:u w:val="single"/>
        </w:rPr>
      </w:pPr>
    </w:p>
    <w:p>
      <w:pPr>
        <w:spacing w:line="120" w:lineRule="exact"/>
        <w:rPr>
          <w:rFonts w:hint="eastAsia" w:ascii="仿宋_GB2312" w:hAnsi="仿宋_GB2312" w:eastAsia="仿宋_GB2312" w:cs="仿宋_GB2312"/>
          <w:b w:val="0"/>
          <w:bCs w:val="0"/>
          <w:color w:val="000000"/>
          <w:sz w:val="30"/>
          <w:szCs w:val="30"/>
          <w:u w:val="single"/>
        </w:rPr>
      </w:pPr>
    </w:p>
    <w:p>
      <w:pPr>
        <w:spacing w:line="120" w:lineRule="exact"/>
        <w:rPr>
          <w:rFonts w:hint="eastAsia" w:ascii="仿宋_GB2312" w:hAnsi="仿宋_GB2312" w:eastAsia="仿宋_GB2312" w:cs="仿宋_GB2312"/>
          <w:b w:val="0"/>
          <w:bCs w:val="0"/>
          <w:color w:val="000000"/>
          <w:sz w:val="30"/>
          <w:szCs w:val="30"/>
          <w:u w:val="single"/>
        </w:rPr>
      </w:pPr>
    </w:p>
    <w:p>
      <w:pPr>
        <w:spacing w:line="120" w:lineRule="exact"/>
        <w:rPr>
          <w:rFonts w:hint="eastAsia" w:ascii="仿宋_GB2312" w:hAnsi="仿宋_GB2312" w:eastAsia="仿宋_GB2312" w:cs="仿宋_GB2312"/>
          <w:b w:val="0"/>
          <w:bCs w:val="0"/>
          <w:color w:val="000000"/>
          <w:sz w:val="30"/>
          <w:szCs w:val="30"/>
          <w:u w:val="single"/>
        </w:rPr>
      </w:pPr>
    </w:p>
    <w:p>
      <w:pPr>
        <w:spacing w:line="120" w:lineRule="exact"/>
        <w:rPr>
          <w:rFonts w:hint="eastAsia" w:ascii="仿宋_GB2312" w:hAnsi="仿宋_GB2312" w:eastAsia="仿宋_GB2312" w:cs="仿宋_GB2312"/>
          <w:b w:val="0"/>
          <w:bCs w:val="0"/>
          <w:color w:val="000000"/>
          <w:sz w:val="30"/>
          <w:szCs w:val="30"/>
          <w:u w:val="single"/>
        </w:rPr>
      </w:pPr>
      <w:r>
        <w:rPr>
          <w:rFonts w:hint="eastAsia" w:ascii="仿宋_GB2312" w:hAnsi="仿宋_GB2312" w:eastAsia="仿宋_GB2312" w:cs="仿宋_GB2312"/>
          <w:b w:val="0"/>
          <w:bCs w:val="0"/>
          <w:color w:val="000000"/>
          <w:sz w:val="30"/>
          <w:szCs w:val="30"/>
          <w:u w:val="single"/>
        </w:rPr>
        <w:t xml:space="preserve">                                                                                                                 </w:t>
      </w:r>
    </w:p>
    <w:p>
      <w:pPr>
        <w:spacing w:line="120" w:lineRule="exact"/>
        <w:rPr>
          <w:rFonts w:hint="eastAsia" w:ascii="仿宋_GB2312" w:hAnsi="仿宋_GB2312" w:eastAsia="仿宋_GB2312" w:cs="仿宋_GB2312"/>
          <w:b w:val="0"/>
          <w:bCs w:val="0"/>
          <w:color w:val="000000"/>
          <w:sz w:val="30"/>
          <w:szCs w:val="30"/>
          <w:u w:val="single"/>
        </w:rPr>
      </w:pPr>
    </w:p>
    <w:p>
      <w:pPr>
        <w:spacing w:line="600" w:lineRule="exact"/>
        <w:jc w:val="both"/>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sz w:val="30"/>
          <w:szCs w:val="30"/>
          <w:lang w:val="en-US" w:eastAsia="zh-CN"/>
        </w:rPr>
        <w:t xml:space="preserve">  </w:t>
      </w:r>
      <w:r>
        <w:rPr>
          <w:rFonts w:hint="eastAsia" w:ascii="仿宋_GB2312" w:hAnsi="仿宋_GB2312" w:eastAsia="仿宋_GB2312" w:cs="仿宋_GB2312"/>
          <w:b w:val="0"/>
          <w:bCs w:val="0"/>
          <w:color w:val="000000"/>
          <w:sz w:val="30"/>
          <w:szCs w:val="30"/>
          <w:lang w:eastAsia="zh-CN"/>
        </w:rPr>
        <w:t>新乡市</w:t>
      </w:r>
      <w:r>
        <w:rPr>
          <w:rFonts w:hint="eastAsia" w:ascii="仿宋_GB2312" w:hAnsi="仿宋_GB2312" w:eastAsia="仿宋_GB2312" w:cs="仿宋_GB2312"/>
          <w:b w:val="0"/>
          <w:bCs w:val="0"/>
          <w:color w:val="000000"/>
          <w:sz w:val="30"/>
          <w:szCs w:val="30"/>
        </w:rPr>
        <w:t>农业农村</w:t>
      </w:r>
      <w:r>
        <w:rPr>
          <w:rFonts w:hint="eastAsia" w:ascii="仿宋_GB2312" w:hAnsi="仿宋_GB2312" w:eastAsia="仿宋_GB2312" w:cs="仿宋_GB2312"/>
          <w:b w:val="0"/>
          <w:bCs w:val="0"/>
          <w:color w:val="000000"/>
          <w:sz w:val="30"/>
          <w:szCs w:val="30"/>
          <w:lang w:eastAsia="zh-CN"/>
        </w:rPr>
        <w:t>局</w:t>
      </w:r>
      <w:r>
        <w:rPr>
          <w:rFonts w:hint="eastAsia" w:ascii="仿宋_GB2312" w:hAnsi="仿宋_GB2312" w:eastAsia="仿宋_GB2312" w:cs="仿宋_GB2312"/>
          <w:b w:val="0"/>
          <w:bCs w:val="0"/>
          <w:color w:val="000000"/>
          <w:sz w:val="30"/>
          <w:szCs w:val="30"/>
        </w:rPr>
        <w:t xml:space="preserve">办公室    </w:t>
      </w:r>
      <w:r>
        <w:rPr>
          <w:rFonts w:hint="eastAsia" w:ascii="仿宋_GB2312" w:hAnsi="仿宋_GB2312" w:eastAsia="仿宋_GB2312" w:cs="仿宋_GB2312"/>
          <w:b w:val="0"/>
          <w:bCs w:val="0"/>
          <w:color w:val="000000"/>
          <w:sz w:val="30"/>
          <w:szCs w:val="30"/>
          <w:lang w:val="en-US" w:eastAsia="zh-CN"/>
        </w:rPr>
        <w:t xml:space="preserve">    </w:t>
      </w:r>
      <w:r>
        <w:rPr>
          <w:rFonts w:hint="default" w:ascii="仿宋_GB2312" w:hAnsi="仿宋_GB2312" w:eastAsia="仿宋_GB2312" w:cs="仿宋_GB2312"/>
          <w:b w:val="0"/>
          <w:bCs w:val="0"/>
          <w:color w:val="000000"/>
          <w:sz w:val="30"/>
          <w:szCs w:val="30"/>
          <w:lang w:val="en" w:eastAsia="zh-CN"/>
        </w:rPr>
        <w:t xml:space="preserve">                                     </w:t>
      </w:r>
      <w:r>
        <w:rPr>
          <w:rFonts w:hint="eastAsia" w:ascii="仿宋_GB2312" w:hAnsi="仿宋_GB2312" w:eastAsia="仿宋_GB2312" w:cs="仿宋_GB2312"/>
          <w:b w:val="0"/>
          <w:bCs w:val="0"/>
          <w:color w:val="000000"/>
          <w:sz w:val="30"/>
          <w:szCs w:val="30"/>
        </w:rPr>
        <w:t xml:space="preserve">  2022年</w:t>
      </w:r>
      <w:r>
        <w:rPr>
          <w:rFonts w:hint="eastAsia" w:ascii="仿宋_GB2312" w:hAnsi="仿宋_GB2312" w:eastAsia="仿宋_GB2312" w:cs="仿宋_GB2312"/>
          <w:b w:val="0"/>
          <w:bCs w:val="0"/>
          <w:color w:val="000000"/>
          <w:sz w:val="30"/>
          <w:szCs w:val="30"/>
          <w:lang w:val="en-US" w:eastAsia="zh-CN"/>
        </w:rPr>
        <w:t>3</w:t>
      </w:r>
      <w:r>
        <w:rPr>
          <w:rFonts w:hint="eastAsia" w:ascii="仿宋_GB2312" w:hAnsi="仿宋_GB2312" w:eastAsia="仿宋_GB2312" w:cs="仿宋_GB2312"/>
          <w:b w:val="0"/>
          <w:bCs w:val="0"/>
          <w:color w:val="000000"/>
          <w:sz w:val="30"/>
          <w:szCs w:val="30"/>
        </w:rPr>
        <w:t>月</w:t>
      </w:r>
      <w:r>
        <w:rPr>
          <w:rFonts w:hint="eastAsia" w:ascii="仿宋_GB2312" w:hAnsi="仿宋_GB2312" w:eastAsia="仿宋_GB2312" w:cs="仿宋_GB2312"/>
          <w:b w:val="0"/>
          <w:bCs w:val="0"/>
          <w:color w:val="000000"/>
          <w:sz w:val="30"/>
          <w:szCs w:val="30"/>
          <w:lang w:val="en-US" w:eastAsia="zh-CN"/>
        </w:rPr>
        <w:t>3</w:t>
      </w:r>
      <w:r>
        <w:rPr>
          <w:rFonts w:hint="eastAsia" w:ascii="仿宋_GB2312" w:hAnsi="仿宋_GB2312" w:eastAsia="仿宋_GB2312" w:cs="仿宋_GB2312"/>
          <w:b w:val="0"/>
          <w:bCs w:val="0"/>
          <w:color w:val="000000"/>
          <w:sz w:val="30"/>
          <w:szCs w:val="30"/>
        </w:rPr>
        <w:t>日印发</w:t>
      </w:r>
    </w:p>
    <w:p>
      <w:pPr>
        <w:spacing w:line="120" w:lineRule="exact"/>
        <w:rPr>
          <w:rFonts w:hint="eastAsia" w:ascii="仿宋_GB2312" w:hAnsi="仿宋_GB2312" w:eastAsia="仿宋_GB2312" w:cs="仿宋_GB2312"/>
          <w:b w:val="0"/>
          <w:bCs w:val="0"/>
          <w:color w:val="000000"/>
          <w:sz w:val="30"/>
          <w:szCs w:val="30"/>
          <w:u w:val="single"/>
        </w:rPr>
      </w:pPr>
      <w:r>
        <w:rPr>
          <w:rFonts w:hint="eastAsia" w:ascii="仿宋_GB2312" w:hAnsi="仿宋_GB2312" w:eastAsia="仿宋_GB2312" w:cs="仿宋_GB2312"/>
          <w:b w:val="0"/>
          <w:bCs w:val="0"/>
          <w:color w:val="000000"/>
          <w:sz w:val="30"/>
          <w:szCs w:val="30"/>
          <w:u w:val="single"/>
        </w:rPr>
        <w:t xml:space="preserve">                                                                                                                  </w:t>
      </w:r>
    </w:p>
    <w:p>
      <w:pPr>
        <w:spacing w:line="120" w:lineRule="exact"/>
        <w:rPr>
          <w:rFonts w:hint="eastAsia" w:ascii="仿宋_GB2312" w:hAnsi="仿宋_GB2312" w:eastAsia="仿宋_GB2312" w:cs="仿宋_GB2312"/>
          <w:b w:val="0"/>
          <w:bCs w:val="0"/>
          <w:color w:val="000000"/>
          <w:sz w:val="30"/>
          <w:szCs w:val="30"/>
          <w:u w:val="single"/>
        </w:rPr>
      </w:pP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方正小标宋简体" w:cs="Times New Roman"/>
          <w:b w:val="0"/>
          <w:bCs w:val="0"/>
          <w:sz w:val="44"/>
          <w:szCs w:val="44"/>
          <w:lang w:val="en" w:eastAsia="zh-CN"/>
        </w:rPr>
      </w:pPr>
    </w:p>
    <w:p>
      <w:pPr>
        <w:spacing w:line="120" w:lineRule="exact"/>
        <w:rPr>
          <w:rFonts w:hint="eastAsia" w:ascii="仿宋_GB2312" w:hAnsi="仿宋_GB2312" w:eastAsia="仿宋_GB2312" w:cs="仿宋_GB2312"/>
          <w:b w:val="0"/>
          <w:bCs w:val="0"/>
          <w:color w:val="000000"/>
          <w:sz w:val="30"/>
          <w:szCs w:val="30"/>
          <w:u w:val="single"/>
        </w:rPr>
      </w:pPr>
      <w:r>
        <w:rPr>
          <w:rFonts w:hint="eastAsia" w:ascii="仿宋_GB2312" w:hAnsi="仿宋_GB2312" w:eastAsia="仿宋_GB2312" w:cs="仿宋_GB2312"/>
          <w:b w:val="0"/>
          <w:bCs w:val="0"/>
          <w:color w:val="000000"/>
          <w:sz w:val="30"/>
          <w:szCs w:val="30"/>
          <w:u w:val="single"/>
        </w:rPr>
        <w:t xml:space="preserve">                                                         </w:t>
      </w:r>
    </w:p>
    <w:p>
      <w:pPr>
        <w:pStyle w:val="2"/>
        <w:rPr>
          <w:rFonts w:hint="eastAsia"/>
          <w:lang w:val="en" w:eastAsia="zh-CN"/>
        </w:rPr>
        <w:sectPr>
          <w:pgSz w:w="16838" w:h="11906" w:orient="landscape"/>
          <w:pgMar w:top="1803" w:right="1440" w:bottom="1803" w:left="1440" w:header="851" w:footer="737" w:gutter="0"/>
          <w:pgNumType w:fmt="decimal"/>
          <w:cols w:space="0" w:num="1"/>
          <w:rtlGutter w:val="0"/>
          <w:docGrid w:type="lines" w:linePitch="319" w:charSpace="0"/>
        </w:sectPr>
      </w:pPr>
    </w:p>
    <w:p>
      <w:pPr>
        <w:pStyle w:val="2"/>
        <w:keepNext w:val="0"/>
        <w:keepLines w:val="0"/>
        <w:pageBreakBefore w:val="0"/>
        <w:kinsoku/>
        <w:wordWrap/>
        <w:overflowPunct/>
        <w:topLinePunct w:val="0"/>
        <w:autoSpaceDE/>
        <w:autoSpaceDN/>
        <w:bidi w:val="0"/>
        <w:adjustRightInd/>
        <w:snapToGrid/>
        <w:spacing w:line="240" w:lineRule="auto"/>
        <w:rPr>
          <w:rFonts w:hint="eastAsia"/>
          <w:lang w:val="en" w:eastAsia="zh-CN"/>
        </w:rPr>
      </w:pPr>
    </w:p>
    <w:p>
      <w:pPr>
        <w:pStyle w:val="2"/>
        <w:keepNext w:val="0"/>
        <w:keepLines w:val="0"/>
        <w:pageBreakBefore w:val="0"/>
        <w:kinsoku/>
        <w:wordWrap/>
        <w:overflowPunct/>
        <w:topLinePunct w:val="0"/>
        <w:autoSpaceDE/>
        <w:autoSpaceDN/>
        <w:bidi w:val="0"/>
        <w:adjustRightInd/>
        <w:snapToGrid/>
        <w:spacing w:line="240" w:lineRule="auto"/>
        <w:rPr>
          <w:rFonts w:hint="eastAsia"/>
          <w:lang w:val="en" w:eastAsia="zh-CN"/>
        </w:rPr>
      </w:pPr>
    </w:p>
    <w:p>
      <w:pPr>
        <w:pStyle w:val="2"/>
        <w:keepNext w:val="0"/>
        <w:keepLines w:val="0"/>
        <w:pageBreakBefore w:val="0"/>
        <w:kinsoku/>
        <w:wordWrap/>
        <w:overflowPunct/>
        <w:topLinePunct w:val="0"/>
        <w:autoSpaceDE/>
        <w:autoSpaceDN/>
        <w:bidi w:val="0"/>
        <w:adjustRightInd/>
        <w:snapToGrid/>
        <w:spacing w:line="240" w:lineRule="auto"/>
        <w:rPr>
          <w:rFonts w:hint="eastAsia"/>
          <w:lang w:val="en" w:eastAsia="zh-CN"/>
        </w:rPr>
      </w:pPr>
    </w:p>
    <w:p>
      <w:pPr>
        <w:pStyle w:val="2"/>
        <w:keepNext w:val="0"/>
        <w:keepLines w:val="0"/>
        <w:pageBreakBefore w:val="0"/>
        <w:kinsoku/>
        <w:wordWrap/>
        <w:overflowPunct/>
        <w:topLinePunct w:val="0"/>
        <w:autoSpaceDE/>
        <w:autoSpaceDN/>
        <w:bidi w:val="0"/>
        <w:adjustRightInd/>
        <w:snapToGrid/>
        <w:spacing w:line="240" w:lineRule="auto"/>
        <w:rPr>
          <w:rFonts w:hint="eastAsia"/>
          <w:lang w:val="en" w:eastAsia="zh-CN"/>
        </w:rPr>
      </w:pPr>
    </w:p>
    <w:p>
      <w:pPr>
        <w:pStyle w:val="2"/>
        <w:keepNext w:val="0"/>
        <w:keepLines w:val="0"/>
        <w:pageBreakBefore w:val="0"/>
        <w:kinsoku/>
        <w:wordWrap/>
        <w:overflowPunct/>
        <w:topLinePunct w:val="0"/>
        <w:autoSpaceDE/>
        <w:autoSpaceDN/>
        <w:bidi w:val="0"/>
        <w:adjustRightInd/>
        <w:snapToGrid/>
        <w:spacing w:line="240" w:lineRule="auto"/>
        <w:rPr>
          <w:rFonts w:hint="eastAsia"/>
          <w:lang w:val="en" w:eastAsia="zh-CN"/>
        </w:rPr>
      </w:pPr>
    </w:p>
    <w:p>
      <w:pPr>
        <w:pStyle w:val="2"/>
        <w:keepNext w:val="0"/>
        <w:keepLines w:val="0"/>
        <w:pageBreakBefore w:val="0"/>
        <w:kinsoku/>
        <w:wordWrap/>
        <w:overflowPunct/>
        <w:topLinePunct w:val="0"/>
        <w:autoSpaceDE/>
        <w:autoSpaceDN/>
        <w:bidi w:val="0"/>
        <w:adjustRightInd/>
        <w:snapToGrid/>
        <w:spacing w:line="240" w:lineRule="auto"/>
        <w:rPr>
          <w:rFonts w:hint="eastAsia"/>
          <w:lang w:val="en" w:eastAsia="zh-CN"/>
        </w:rPr>
      </w:pPr>
    </w:p>
    <w:p>
      <w:pPr>
        <w:pStyle w:val="2"/>
        <w:keepNext w:val="0"/>
        <w:keepLines w:val="0"/>
        <w:pageBreakBefore w:val="0"/>
        <w:kinsoku/>
        <w:wordWrap/>
        <w:overflowPunct/>
        <w:topLinePunct w:val="0"/>
        <w:autoSpaceDE/>
        <w:autoSpaceDN/>
        <w:bidi w:val="0"/>
        <w:adjustRightInd/>
        <w:snapToGrid/>
        <w:spacing w:line="240" w:lineRule="auto"/>
        <w:rPr>
          <w:rFonts w:hint="eastAsia"/>
          <w:lang w:val="en" w:eastAsia="zh-CN"/>
        </w:rPr>
      </w:pPr>
    </w:p>
    <w:p>
      <w:pPr>
        <w:pStyle w:val="2"/>
        <w:keepNext w:val="0"/>
        <w:keepLines w:val="0"/>
        <w:pageBreakBefore w:val="0"/>
        <w:kinsoku/>
        <w:wordWrap/>
        <w:overflowPunct/>
        <w:topLinePunct w:val="0"/>
        <w:autoSpaceDE/>
        <w:autoSpaceDN/>
        <w:bidi w:val="0"/>
        <w:adjustRightInd/>
        <w:snapToGrid/>
        <w:spacing w:line="240" w:lineRule="auto"/>
        <w:rPr>
          <w:rFonts w:hint="eastAsia"/>
          <w:lang w:val="en" w:eastAsia="zh-CN"/>
        </w:rPr>
      </w:pPr>
    </w:p>
    <w:p>
      <w:pPr>
        <w:pStyle w:val="2"/>
        <w:keepNext w:val="0"/>
        <w:keepLines w:val="0"/>
        <w:pageBreakBefore w:val="0"/>
        <w:kinsoku/>
        <w:wordWrap/>
        <w:overflowPunct/>
        <w:topLinePunct w:val="0"/>
        <w:autoSpaceDE/>
        <w:autoSpaceDN/>
        <w:bidi w:val="0"/>
        <w:adjustRightInd/>
        <w:snapToGrid/>
        <w:spacing w:line="240" w:lineRule="auto"/>
        <w:rPr>
          <w:rFonts w:hint="eastAsia"/>
          <w:lang w:val="en" w:eastAsia="zh-CN"/>
        </w:rPr>
      </w:pPr>
    </w:p>
    <w:p>
      <w:pPr>
        <w:pStyle w:val="2"/>
        <w:keepNext w:val="0"/>
        <w:keepLines w:val="0"/>
        <w:pageBreakBefore w:val="0"/>
        <w:kinsoku/>
        <w:wordWrap/>
        <w:overflowPunct/>
        <w:topLinePunct w:val="0"/>
        <w:autoSpaceDE/>
        <w:autoSpaceDN/>
        <w:bidi w:val="0"/>
        <w:adjustRightInd/>
        <w:snapToGrid/>
        <w:spacing w:line="240" w:lineRule="auto"/>
        <w:rPr>
          <w:rFonts w:hint="eastAsia"/>
          <w:lang w:val="en" w:eastAsia="zh-CN"/>
        </w:rPr>
      </w:pPr>
    </w:p>
    <w:p>
      <w:pPr>
        <w:pStyle w:val="2"/>
        <w:keepNext w:val="0"/>
        <w:keepLines w:val="0"/>
        <w:pageBreakBefore w:val="0"/>
        <w:kinsoku/>
        <w:wordWrap/>
        <w:overflowPunct/>
        <w:topLinePunct w:val="0"/>
        <w:autoSpaceDE/>
        <w:autoSpaceDN/>
        <w:bidi w:val="0"/>
        <w:adjustRightInd/>
        <w:snapToGrid/>
        <w:spacing w:line="240" w:lineRule="auto"/>
        <w:rPr>
          <w:rFonts w:hint="eastAsia"/>
          <w:lang w:val="en" w:eastAsia="zh-CN"/>
        </w:rPr>
      </w:pPr>
    </w:p>
    <w:p>
      <w:pPr>
        <w:pStyle w:val="2"/>
        <w:keepNext w:val="0"/>
        <w:keepLines w:val="0"/>
        <w:pageBreakBefore w:val="0"/>
        <w:kinsoku/>
        <w:wordWrap/>
        <w:overflowPunct/>
        <w:topLinePunct w:val="0"/>
        <w:autoSpaceDE/>
        <w:autoSpaceDN/>
        <w:bidi w:val="0"/>
        <w:adjustRightInd/>
        <w:snapToGrid/>
        <w:spacing w:line="240" w:lineRule="auto"/>
        <w:rPr>
          <w:rFonts w:hint="eastAsia"/>
          <w:lang w:val="en" w:eastAsia="zh-CN"/>
        </w:rPr>
      </w:pPr>
    </w:p>
    <w:p>
      <w:pPr>
        <w:pStyle w:val="2"/>
        <w:keepNext w:val="0"/>
        <w:keepLines w:val="0"/>
        <w:pageBreakBefore w:val="0"/>
        <w:kinsoku/>
        <w:wordWrap/>
        <w:overflowPunct/>
        <w:topLinePunct w:val="0"/>
        <w:autoSpaceDE/>
        <w:autoSpaceDN/>
        <w:bidi w:val="0"/>
        <w:adjustRightInd/>
        <w:snapToGrid/>
        <w:spacing w:line="240" w:lineRule="auto"/>
        <w:rPr>
          <w:rFonts w:hint="eastAsia"/>
          <w:lang w:val="en" w:eastAsia="zh-CN"/>
        </w:rPr>
      </w:pPr>
    </w:p>
    <w:p>
      <w:pPr>
        <w:pStyle w:val="2"/>
        <w:keepNext w:val="0"/>
        <w:keepLines w:val="0"/>
        <w:pageBreakBefore w:val="0"/>
        <w:kinsoku/>
        <w:wordWrap/>
        <w:overflowPunct/>
        <w:topLinePunct w:val="0"/>
        <w:autoSpaceDE/>
        <w:autoSpaceDN/>
        <w:bidi w:val="0"/>
        <w:adjustRightInd/>
        <w:snapToGrid/>
        <w:spacing w:line="240" w:lineRule="auto"/>
        <w:rPr>
          <w:rFonts w:hint="eastAsia"/>
          <w:lang w:val="en" w:eastAsia="zh-CN"/>
        </w:rPr>
      </w:pPr>
    </w:p>
    <w:p>
      <w:pPr>
        <w:pStyle w:val="2"/>
        <w:keepNext w:val="0"/>
        <w:keepLines w:val="0"/>
        <w:pageBreakBefore w:val="0"/>
        <w:kinsoku/>
        <w:wordWrap/>
        <w:overflowPunct/>
        <w:topLinePunct w:val="0"/>
        <w:autoSpaceDE/>
        <w:autoSpaceDN/>
        <w:bidi w:val="0"/>
        <w:adjustRightInd/>
        <w:snapToGrid/>
        <w:spacing w:line="240" w:lineRule="auto"/>
        <w:rPr>
          <w:rFonts w:hint="eastAsia"/>
          <w:lang w:val="en" w:eastAsia="zh-CN"/>
        </w:rPr>
      </w:pPr>
    </w:p>
    <w:p>
      <w:pPr>
        <w:pStyle w:val="2"/>
        <w:keepNext w:val="0"/>
        <w:keepLines w:val="0"/>
        <w:pageBreakBefore w:val="0"/>
        <w:kinsoku/>
        <w:wordWrap/>
        <w:overflowPunct/>
        <w:topLinePunct w:val="0"/>
        <w:autoSpaceDE/>
        <w:autoSpaceDN/>
        <w:bidi w:val="0"/>
        <w:adjustRightInd/>
        <w:snapToGrid/>
        <w:spacing w:line="240" w:lineRule="auto"/>
        <w:rPr>
          <w:rFonts w:hint="eastAsia"/>
          <w:lang w:val="en" w:eastAsia="zh-CN"/>
        </w:rPr>
      </w:pPr>
    </w:p>
    <w:p>
      <w:pPr>
        <w:pStyle w:val="2"/>
        <w:keepNext w:val="0"/>
        <w:keepLines w:val="0"/>
        <w:pageBreakBefore w:val="0"/>
        <w:kinsoku/>
        <w:wordWrap/>
        <w:overflowPunct/>
        <w:topLinePunct w:val="0"/>
        <w:autoSpaceDE/>
        <w:autoSpaceDN/>
        <w:bidi w:val="0"/>
        <w:adjustRightInd/>
        <w:snapToGrid/>
        <w:spacing w:line="240" w:lineRule="auto"/>
        <w:rPr>
          <w:rFonts w:hint="eastAsia"/>
          <w:lang w:val="en" w:eastAsia="zh-CN"/>
        </w:rPr>
      </w:pPr>
    </w:p>
    <w:p>
      <w:pPr>
        <w:pStyle w:val="2"/>
        <w:keepNext w:val="0"/>
        <w:keepLines w:val="0"/>
        <w:pageBreakBefore w:val="0"/>
        <w:kinsoku/>
        <w:wordWrap/>
        <w:overflowPunct/>
        <w:topLinePunct w:val="0"/>
        <w:autoSpaceDE/>
        <w:autoSpaceDN/>
        <w:bidi w:val="0"/>
        <w:adjustRightInd/>
        <w:snapToGrid/>
        <w:spacing w:line="240" w:lineRule="auto"/>
        <w:rPr>
          <w:rFonts w:hint="eastAsia"/>
          <w:lang w:val="en" w:eastAsia="zh-CN"/>
        </w:rPr>
      </w:pPr>
    </w:p>
    <w:p>
      <w:pPr>
        <w:spacing w:line="120" w:lineRule="exact"/>
        <w:rPr>
          <w:rFonts w:hint="eastAsia" w:ascii="仿宋_GB2312" w:hAnsi="仿宋_GB2312" w:eastAsia="仿宋_GB2312" w:cs="仿宋_GB2312"/>
          <w:b w:val="0"/>
          <w:bCs w:val="0"/>
          <w:color w:val="000000"/>
          <w:sz w:val="30"/>
          <w:szCs w:val="30"/>
          <w:u w:val="single"/>
        </w:rPr>
      </w:pPr>
    </w:p>
    <w:p>
      <w:pPr>
        <w:spacing w:line="120" w:lineRule="exact"/>
        <w:rPr>
          <w:rFonts w:hint="eastAsia" w:ascii="仿宋_GB2312" w:hAnsi="仿宋_GB2312" w:eastAsia="仿宋_GB2312" w:cs="仿宋_GB2312"/>
          <w:b w:val="0"/>
          <w:bCs w:val="0"/>
          <w:color w:val="000000"/>
          <w:sz w:val="30"/>
          <w:szCs w:val="30"/>
          <w:u w:val="single"/>
        </w:rPr>
      </w:pPr>
    </w:p>
    <w:p>
      <w:pPr>
        <w:spacing w:line="120" w:lineRule="exact"/>
        <w:rPr>
          <w:rFonts w:hint="eastAsia" w:ascii="仿宋_GB2312" w:hAnsi="仿宋_GB2312" w:eastAsia="仿宋_GB2312" w:cs="仿宋_GB2312"/>
          <w:b w:val="0"/>
          <w:bCs w:val="0"/>
          <w:color w:val="000000"/>
          <w:sz w:val="30"/>
          <w:szCs w:val="30"/>
          <w:u w:val="single"/>
        </w:rPr>
      </w:pPr>
    </w:p>
    <w:p>
      <w:pPr>
        <w:spacing w:line="120" w:lineRule="exact"/>
        <w:rPr>
          <w:rFonts w:hint="eastAsia" w:ascii="仿宋_GB2312" w:hAnsi="仿宋_GB2312" w:eastAsia="仿宋_GB2312" w:cs="仿宋_GB2312"/>
          <w:b w:val="0"/>
          <w:bCs w:val="0"/>
          <w:color w:val="000000"/>
          <w:sz w:val="30"/>
          <w:szCs w:val="30"/>
          <w:u w:val="single"/>
        </w:rPr>
      </w:pPr>
    </w:p>
    <w:p>
      <w:pPr>
        <w:spacing w:line="120" w:lineRule="exact"/>
        <w:rPr>
          <w:rFonts w:hint="eastAsia" w:ascii="仿宋_GB2312" w:hAnsi="仿宋_GB2312" w:eastAsia="仿宋_GB2312" w:cs="仿宋_GB2312"/>
          <w:b w:val="0"/>
          <w:bCs w:val="0"/>
          <w:color w:val="000000"/>
          <w:sz w:val="30"/>
          <w:szCs w:val="30"/>
          <w:u w:val="single"/>
        </w:rPr>
      </w:pPr>
    </w:p>
    <w:p>
      <w:pPr>
        <w:spacing w:line="120" w:lineRule="exact"/>
        <w:rPr>
          <w:rFonts w:hint="eastAsia" w:ascii="仿宋_GB2312" w:hAnsi="仿宋_GB2312" w:eastAsia="仿宋_GB2312" w:cs="仿宋_GB2312"/>
          <w:b w:val="0"/>
          <w:bCs w:val="0"/>
          <w:color w:val="000000"/>
          <w:sz w:val="30"/>
          <w:szCs w:val="30"/>
          <w:u w:val="single"/>
        </w:rPr>
      </w:pPr>
    </w:p>
    <w:p>
      <w:pPr>
        <w:spacing w:line="120" w:lineRule="exact"/>
        <w:rPr>
          <w:rFonts w:hint="eastAsia" w:ascii="仿宋_GB2312" w:hAnsi="仿宋_GB2312" w:eastAsia="仿宋_GB2312" w:cs="仿宋_GB2312"/>
          <w:b w:val="0"/>
          <w:bCs w:val="0"/>
          <w:color w:val="000000"/>
          <w:sz w:val="30"/>
          <w:szCs w:val="30"/>
          <w:u w:val="single"/>
        </w:rPr>
      </w:pPr>
    </w:p>
    <w:p>
      <w:pPr>
        <w:spacing w:line="120" w:lineRule="exact"/>
        <w:rPr>
          <w:rFonts w:hint="eastAsia" w:ascii="仿宋_GB2312" w:hAnsi="仿宋_GB2312" w:eastAsia="仿宋_GB2312" w:cs="仿宋_GB2312"/>
          <w:b w:val="0"/>
          <w:bCs w:val="0"/>
          <w:color w:val="000000"/>
          <w:sz w:val="30"/>
          <w:szCs w:val="30"/>
          <w:u w:val="single"/>
        </w:rPr>
      </w:pPr>
    </w:p>
    <w:p>
      <w:pPr>
        <w:spacing w:line="120" w:lineRule="exact"/>
        <w:rPr>
          <w:rFonts w:hint="eastAsia" w:ascii="仿宋_GB2312" w:hAnsi="仿宋_GB2312" w:eastAsia="仿宋_GB2312" w:cs="仿宋_GB2312"/>
          <w:b w:val="0"/>
          <w:bCs w:val="0"/>
          <w:color w:val="000000"/>
          <w:sz w:val="30"/>
          <w:szCs w:val="30"/>
          <w:u w:val="single"/>
        </w:rPr>
      </w:pPr>
    </w:p>
    <w:p>
      <w:pPr>
        <w:spacing w:line="120" w:lineRule="exact"/>
        <w:rPr>
          <w:rFonts w:hint="eastAsia" w:ascii="仿宋_GB2312" w:hAnsi="仿宋_GB2312" w:eastAsia="仿宋_GB2312" w:cs="仿宋_GB2312"/>
          <w:b w:val="0"/>
          <w:bCs w:val="0"/>
          <w:color w:val="000000"/>
          <w:sz w:val="30"/>
          <w:szCs w:val="30"/>
          <w:u w:val="single"/>
        </w:rPr>
      </w:pPr>
    </w:p>
    <w:p>
      <w:pPr>
        <w:spacing w:line="120" w:lineRule="exact"/>
        <w:rPr>
          <w:rFonts w:hint="eastAsia" w:ascii="仿宋_GB2312" w:hAnsi="仿宋_GB2312" w:eastAsia="仿宋_GB2312" w:cs="仿宋_GB2312"/>
          <w:b w:val="0"/>
          <w:bCs w:val="0"/>
          <w:color w:val="000000"/>
          <w:sz w:val="30"/>
          <w:szCs w:val="30"/>
          <w:u w:val="single"/>
        </w:rPr>
      </w:pPr>
    </w:p>
    <w:p>
      <w:pPr>
        <w:spacing w:line="120" w:lineRule="exact"/>
        <w:rPr>
          <w:rFonts w:hint="eastAsia" w:ascii="仿宋_GB2312" w:hAnsi="仿宋_GB2312" w:eastAsia="仿宋_GB2312" w:cs="仿宋_GB2312"/>
          <w:b w:val="0"/>
          <w:bCs w:val="0"/>
          <w:color w:val="000000"/>
          <w:sz w:val="30"/>
          <w:szCs w:val="30"/>
          <w:u w:val="single"/>
        </w:rPr>
      </w:pPr>
      <w:r>
        <w:rPr>
          <w:rFonts w:hint="eastAsia" w:ascii="仿宋_GB2312" w:hAnsi="仿宋_GB2312" w:eastAsia="仿宋_GB2312" w:cs="仿宋_GB2312"/>
          <w:b w:val="0"/>
          <w:bCs w:val="0"/>
          <w:color w:val="000000"/>
          <w:sz w:val="30"/>
          <w:szCs w:val="30"/>
          <w:u w:val="single"/>
        </w:rPr>
        <w:t xml:space="preserve">                                                         </w:t>
      </w:r>
    </w:p>
    <w:p>
      <w:pPr>
        <w:spacing w:line="600" w:lineRule="exact"/>
        <w:jc w:val="both"/>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sz w:val="30"/>
          <w:szCs w:val="30"/>
          <w:lang w:val="en-US" w:eastAsia="zh-CN"/>
        </w:rPr>
        <w:t xml:space="preserve">  </w:t>
      </w:r>
      <w:r>
        <w:rPr>
          <w:rFonts w:hint="eastAsia" w:ascii="仿宋_GB2312" w:hAnsi="仿宋_GB2312" w:eastAsia="仿宋_GB2312" w:cs="仿宋_GB2312"/>
          <w:b w:val="0"/>
          <w:bCs w:val="0"/>
          <w:color w:val="000000"/>
          <w:sz w:val="30"/>
          <w:szCs w:val="30"/>
          <w:lang w:eastAsia="zh-CN"/>
        </w:rPr>
        <w:t>新乡市</w:t>
      </w:r>
      <w:r>
        <w:rPr>
          <w:rFonts w:hint="eastAsia" w:ascii="仿宋_GB2312" w:hAnsi="仿宋_GB2312" w:eastAsia="仿宋_GB2312" w:cs="仿宋_GB2312"/>
          <w:b w:val="0"/>
          <w:bCs w:val="0"/>
          <w:color w:val="000000"/>
          <w:sz w:val="30"/>
          <w:szCs w:val="30"/>
        </w:rPr>
        <w:t>农业农村</w:t>
      </w:r>
      <w:r>
        <w:rPr>
          <w:rFonts w:hint="eastAsia" w:ascii="仿宋_GB2312" w:hAnsi="仿宋_GB2312" w:eastAsia="仿宋_GB2312" w:cs="仿宋_GB2312"/>
          <w:b w:val="0"/>
          <w:bCs w:val="0"/>
          <w:color w:val="000000"/>
          <w:sz w:val="30"/>
          <w:szCs w:val="30"/>
          <w:lang w:eastAsia="zh-CN"/>
        </w:rPr>
        <w:t>局</w:t>
      </w:r>
      <w:r>
        <w:rPr>
          <w:rFonts w:hint="eastAsia" w:ascii="仿宋_GB2312" w:hAnsi="仿宋_GB2312" w:eastAsia="仿宋_GB2312" w:cs="仿宋_GB2312"/>
          <w:b w:val="0"/>
          <w:bCs w:val="0"/>
          <w:color w:val="000000"/>
          <w:sz w:val="30"/>
          <w:szCs w:val="30"/>
        </w:rPr>
        <w:t xml:space="preserve">办公室    </w:t>
      </w:r>
      <w:r>
        <w:rPr>
          <w:rFonts w:hint="eastAsia" w:ascii="仿宋_GB2312" w:hAnsi="仿宋_GB2312" w:eastAsia="仿宋_GB2312" w:cs="仿宋_GB2312"/>
          <w:b w:val="0"/>
          <w:bCs w:val="0"/>
          <w:color w:val="000000"/>
          <w:sz w:val="30"/>
          <w:szCs w:val="30"/>
          <w:lang w:val="en-US" w:eastAsia="zh-CN"/>
        </w:rPr>
        <w:t xml:space="preserve">    </w:t>
      </w:r>
      <w:r>
        <w:rPr>
          <w:rFonts w:hint="eastAsia" w:ascii="仿宋_GB2312" w:hAnsi="仿宋_GB2312" w:eastAsia="仿宋_GB2312" w:cs="仿宋_GB2312"/>
          <w:b w:val="0"/>
          <w:bCs w:val="0"/>
          <w:color w:val="000000"/>
          <w:sz w:val="30"/>
          <w:szCs w:val="30"/>
        </w:rPr>
        <w:t xml:space="preserve">  2022年</w:t>
      </w:r>
      <w:r>
        <w:rPr>
          <w:rFonts w:hint="eastAsia" w:ascii="仿宋_GB2312" w:hAnsi="仿宋_GB2312" w:eastAsia="仿宋_GB2312" w:cs="仿宋_GB2312"/>
          <w:b w:val="0"/>
          <w:bCs w:val="0"/>
          <w:color w:val="000000"/>
          <w:sz w:val="30"/>
          <w:szCs w:val="30"/>
          <w:lang w:val="en-US" w:eastAsia="zh-CN"/>
        </w:rPr>
        <w:t>3</w:t>
      </w:r>
      <w:r>
        <w:rPr>
          <w:rFonts w:hint="eastAsia" w:ascii="仿宋_GB2312" w:hAnsi="仿宋_GB2312" w:eastAsia="仿宋_GB2312" w:cs="仿宋_GB2312"/>
          <w:b w:val="0"/>
          <w:bCs w:val="0"/>
          <w:color w:val="000000"/>
          <w:sz w:val="30"/>
          <w:szCs w:val="30"/>
        </w:rPr>
        <w:t>月</w:t>
      </w:r>
      <w:r>
        <w:rPr>
          <w:rFonts w:hint="eastAsia" w:ascii="仿宋_GB2312" w:hAnsi="仿宋_GB2312" w:eastAsia="仿宋_GB2312" w:cs="仿宋_GB2312"/>
          <w:b w:val="0"/>
          <w:bCs w:val="0"/>
          <w:color w:val="000000"/>
          <w:sz w:val="30"/>
          <w:szCs w:val="30"/>
          <w:lang w:val="en-US" w:eastAsia="zh-CN"/>
        </w:rPr>
        <w:t>3</w:t>
      </w:r>
      <w:r>
        <w:rPr>
          <w:rFonts w:hint="eastAsia" w:ascii="仿宋_GB2312" w:hAnsi="仿宋_GB2312" w:eastAsia="仿宋_GB2312" w:cs="仿宋_GB2312"/>
          <w:b w:val="0"/>
          <w:bCs w:val="0"/>
          <w:color w:val="000000"/>
          <w:sz w:val="30"/>
          <w:szCs w:val="30"/>
        </w:rPr>
        <w:t>日印发</w:t>
      </w:r>
    </w:p>
    <w:p>
      <w:pPr>
        <w:spacing w:line="120" w:lineRule="exact"/>
        <w:jc w:val="left"/>
        <w:rPr>
          <w:rFonts w:hint="default" w:ascii="Times New Roman" w:hAnsi="Times New Roman" w:eastAsia="仿宋" w:cs="Times New Roman"/>
          <w:b w:val="0"/>
          <w:bCs w:val="0"/>
          <w:color w:val="000000"/>
          <w:sz w:val="28"/>
          <w:szCs w:val="28"/>
          <w:u w:val="single"/>
        </w:rPr>
      </w:pPr>
      <w:r>
        <w:rPr>
          <w:rFonts w:hint="eastAsia" w:ascii="仿宋_GB2312" w:hAnsi="仿宋_GB2312" w:eastAsia="仿宋_GB2312" w:cs="仿宋_GB2312"/>
          <w:b w:val="0"/>
          <w:bCs w:val="0"/>
          <w:color w:val="000000"/>
          <w:sz w:val="30"/>
          <w:szCs w:val="30"/>
          <w:u w:val="single"/>
        </w:rPr>
        <w:t xml:space="preserve">                                                              </w:t>
      </w:r>
      <w:r>
        <w:rPr>
          <w:rFonts w:hint="default" w:ascii="Times New Roman" w:hAnsi="Times New Roman" w:eastAsia="仿宋" w:cs="Times New Roman"/>
          <w:b w:val="0"/>
          <w:bCs w:val="0"/>
          <w:color w:val="000000"/>
          <w:sz w:val="28"/>
          <w:szCs w:val="28"/>
          <w:u w:val="single"/>
        </w:rPr>
        <w:t xml:space="preserve">   </w:t>
      </w:r>
    </w:p>
    <w:p>
      <w:pPr>
        <w:spacing w:line="120" w:lineRule="exact"/>
        <w:jc w:val="left"/>
        <w:rPr>
          <w:rFonts w:hint="default" w:ascii="Times New Roman" w:hAnsi="Times New Roman" w:eastAsia="仿宋_GB2312" w:cs="Times New Roman"/>
          <w:b w:val="0"/>
          <w:bCs w:val="0"/>
          <w:color w:val="000000"/>
          <w:kern w:val="0"/>
          <w:sz w:val="28"/>
          <w:szCs w:val="28"/>
        </w:rPr>
      </w:pPr>
      <w:r>
        <w:rPr>
          <w:rFonts w:hint="default" w:ascii="Times New Roman" w:hAnsi="Times New Roman" w:cs="Times New Roman"/>
          <w:b w:val="0"/>
          <w:bCs w:val="0"/>
          <w:color w:val="000000"/>
        </w:rPr>
        <w:t xml:space="preserve"> </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eastAsia" w:ascii="Times New Roman" w:hAnsi="Times New Roman" w:eastAsia="方正小标宋简体" w:cs="Times New Roman"/>
          <w:b w:val="0"/>
          <w:bCs w:val="0"/>
          <w:sz w:val="44"/>
          <w:szCs w:val="44"/>
          <w:lang w:val="en" w:eastAsia="zh-CN"/>
        </w:rPr>
        <w:sectPr>
          <w:footerReference r:id="rId4" w:type="default"/>
          <w:pgSz w:w="11906" w:h="16838"/>
          <w:pgMar w:top="1440" w:right="1803" w:bottom="1440" w:left="1803" w:header="851" w:footer="737" w:gutter="0"/>
          <w:pgNumType w:fmt="decimal"/>
          <w:cols w:space="0" w:num="1"/>
          <w:rtlGutter w:val="0"/>
          <w:docGrid w:type="lines" w:linePitch="319" w:charSpace="0"/>
        </w:sectPr>
      </w:pP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eastAsia" w:ascii="Times New Roman" w:hAnsi="Times New Roman" w:eastAsia="方正小标宋简体" w:cs="Times New Roman"/>
          <w:b w:val="0"/>
          <w:bCs w:val="0"/>
          <w:sz w:val="44"/>
          <w:szCs w:val="44"/>
          <w:lang w:val="en" w:eastAsia="zh-CN"/>
        </w:rPr>
      </w:pPr>
    </w:p>
    <w:sectPr>
      <w:footerReference r:id="rId5" w:type="default"/>
      <w:pgSz w:w="11906" w:h="16838"/>
      <w:pgMar w:top="1440" w:right="1803" w:bottom="1440" w:left="1803" w:header="851" w:footer="737"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0000000000000000000"/>
    <w:charset w:val="00"/>
    <w:family w:val="auto"/>
    <w:pitch w:val="default"/>
    <w:sig w:usb0="00000000" w:usb1="00000000" w:usb2="00000000" w:usb3="00000000" w:csb0="00040000" w:csb1="00000000"/>
  </w:font>
  <w:font w:name="??_GB2312">
    <w:altName w:val="URW Book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C5"/>
    <w:rsid w:val="00002E83"/>
    <w:rsid w:val="00004340"/>
    <w:rsid w:val="00006B09"/>
    <w:rsid w:val="00022493"/>
    <w:rsid w:val="000278ED"/>
    <w:rsid w:val="00042014"/>
    <w:rsid w:val="000671E4"/>
    <w:rsid w:val="00076C20"/>
    <w:rsid w:val="000770E8"/>
    <w:rsid w:val="00093B51"/>
    <w:rsid w:val="0009645A"/>
    <w:rsid w:val="00097A8E"/>
    <w:rsid w:val="000A0E46"/>
    <w:rsid w:val="000A119C"/>
    <w:rsid w:val="000B6C46"/>
    <w:rsid w:val="000C5E8A"/>
    <w:rsid w:val="000D6249"/>
    <w:rsid w:val="0010043E"/>
    <w:rsid w:val="00104A4D"/>
    <w:rsid w:val="00110B53"/>
    <w:rsid w:val="00116376"/>
    <w:rsid w:val="0011661E"/>
    <w:rsid w:val="00121290"/>
    <w:rsid w:val="001251A7"/>
    <w:rsid w:val="00142398"/>
    <w:rsid w:val="0014556C"/>
    <w:rsid w:val="00145614"/>
    <w:rsid w:val="00153A59"/>
    <w:rsid w:val="00161D32"/>
    <w:rsid w:val="00164058"/>
    <w:rsid w:val="0017782F"/>
    <w:rsid w:val="00195CDA"/>
    <w:rsid w:val="001A490C"/>
    <w:rsid w:val="001B0BAA"/>
    <w:rsid w:val="001B6A41"/>
    <w:rsid w:val="001C453E"/>
    <w:rsid w:val="001E000F"/>
    <w:rsid w:val="001E3B1E"/>
    <w:rsid w:val="001F487D"/>
    <w:rsid w:val="001F4C62"/>
    <w:rsid w:val="001F553B"/>
    <w:rsid w:val="001F7C1B"/>
    <w:rsid w:val="002024F1"/>
    <w:rsid w:val="00203190"/>
    <w:rsid w:val="00203537"/>
    <w:rsid w:val="002051BE"/>
    <w:rsid w:val="00205FF5"/>
    <w:rsid w:val="00206404"/>
    <w:rsid w:val="00223BBB"/>
    <w:rsid w:val="002332C4"/>
    <w:rsid w:val="00234C53"/>
    <w:rsid w:val="00237881"/>
    <w:rsid w:val="00246F4B"/>
    <w:rsid w:val="002502F3"/>
    <w:rsid w:val="002523F2"/>
    <w:rsid w:val="002629F6"/>
    <w:rsid w:val="00272035"/>
    <w:rsid w:val="0027773B"/>
    <w:rsid w:val="002867D2"/>
    <w:rsid w:val="00293240"/>
    <w:rsid w:val="00296542"/>
    <w:rsid w:val="002A3B10"/>
    <w:rsid w:val="002C228C"/>
    <w:rsid w:val="002D000F"/>
    <w:rsid w:val="002E69FE"/>
    <w:rsid w:val="002F11E0"/>
    <w:rsid w:val="002F2ECA"/>
    <w:rsid w:val="002F3D11"/>
    <w:rsid w:val="00300C12"/>
    <w:rsid w:val="003026AA"/>
    <w:rsid w:val="00307BB9"/>
    <w:rsid w:val="003126F2"/>
    <w:rsid w:val="00324117"/>
    <w:rsid w:val="00336F7D"/>
    <w:rsid w:val="00340B3F"/>
    <w:rsid w:val="0034670D"/>
    <w:rsid w:val="0034799A"/>
    <w:rsid w:val="00361DE8"/>
    <w:rsid w:val="00390FA3"/>
    <w:rsid w:val="00391E6F"/>
    <w:rsid w:val="003A730E"/>
    <w:rsid w:val="003B609D"/>
    <w:rsid w:val="003B763F"/>
    <w:rsid w:val="003C2633"/>
    <w:rsid w:val="003C48F4"/>
    <w:rsid w:val="003C63CD"/>
    <w:rsid w:val="003C662B"/>
    <w:rsid w:val="003C7545"/>
    <w:rsid w:val="003D2500"/>
    <w:rsid w:val="003E45A1"/>
    <w:rsid w:val="003E7F02"/>
    <w:rsid w:val="00404E93"/>
    <w:rsid w:val="00420A74"/>
    <w:rsid w:val="00427513"/>
    <w:rsid w:val="00430AFE"/>
    <w:rsid w:val="004370DB"/>
    <w:rsid w:val="0043731A"/>
    <w:rsid w:val="00437F66"/>
    <w:rsid w:val="00441C0A"/>
    <w:rsid w:val="00443C76"/>
    <w:rsid w:val="004454E6"/>
    <w:rsid w:val="00445899"/>
    <w:rsid w:val="00476A28"/>
    <w:rsid w:val="00481519"/>
    <w:rsid w:val="00487F6E"/>
    <w:rsid w:val="00491DDB"/>
    <w:rsid w:val="004B3C47"/>
    <w:rsid w:val="004B7E6A"/>
    <w:rsid w:val="004D2921"/>
    <w:rsid w:val="004E39D4"/>
    <w:rsid w:val="00501A62"/>
    <w:rsid w:val="00505CC1"/>
    <w:rsid w:val="00532FDD"/>
    <w:rsid w:val="00551FC5"/>
    <w:rsid w:val="00565DFE"/>
    <w:rsid w:val="00567B3B"/>
    <w:rsid w:val="005754FA"/>
    <w:rsid w:val="00576A7B"/>
    <w:rsid w:val="005866BF"/>
    <w:rsid w:val="005A4E6C"/>
    <w:rsid w:val="005B0D9C"/>
    <w:rsid w:val="005C243B"/>
    <w:rsid w:val="005C2770"/>
    <w:rsid w:val="005C3E49"/>
    <w:rsid w:val="005C4B86"/>
    <w:rsid w:val="005E39BD"/>
    <w:rsid w:val="005F2322"/>
    <w:rsid w:val="005F3A09"/>
    <w:rsid w:val="00613024"/>
    <w:rsid w:val="006218BC"/>
    <w:rsid w:val="00622753"/>
    <w:rsid w:val="00630B08"/>
    <w:rsid w:val="006328B3"/>
    <w:rsid w:val="00637D6C"/>
    <w:rsid w:val="006441FB"/>
    <w:rsid w:val="006474C5"/>
    <w:rsid w:val="00656F52"/>
    <w:rsid w:val="00663980"/>
    <w:rsid w:val="00676A40"/>
    <w:rsid w:val="00683C73"/>
    <w:rsid w:val="00685A6B"/>
    <w:rsid w:val="006921F7"/>
    <w:rsid w:val="006A4888"/>
    <w:rsid w:val="006B12A8"/>
    <w:rsid w:val="006B5E46"/>
    <w:rsid w:val="006C17B9"/>
    <w:rsid w:val="006E0CCC"/>
    <w:rsid w:val="006E4E39"/>
    <w:rsid w:val="006F1684"/>
    <w:rsid w:val="006F7AEF"/>
    <w:rsid w:val="007159E3"/>
    <w:rsid w:val="007324CC"/>
    <w:rsid w:val="00747DB1"/>
    <w:rsid w:val="00754D7B"/>
    <w:rsid w:val="00766D1A"/>
    <w:rsid w:val="00773903"/>
    <w:rsid w:val="00781919"/>
    <w:rsid w:val="007934AA"/>
    <w:rsid w:val="007A098A"/>
    <w:rsid w:val="007C183D"/>
    <w:rsid w:val="007C3C68"/>
    <w:rsid w:val="007F2C81"/>
    <w:rsid w:val="00803A84"/>
    <w:rsid w:val="00804267"/>
    <w:rsid w:val="008141D9"/>
    <w:rsid w:val="00823065"/>
    <w:rsid w:val="00827DD9"/>
    <w:rsid w:val="008303BF"/>
    <w:rsid w:val="0083198A"/>
    <w:rsid w:val="00843697"/>
    <w:rsid w:val="008453A5"/>
    <w:rsid w:val="008534EA"/>
    <w:rsid w:val="00857A5E"/>
    <w:rsid w:val="0086609C"/>
    <w:rsid w:val="008A42A1"/>
    <w:rsid w:val="008B69A5"/>
    <w:rsid w:val="008D1626"/>
    <w:rsid w:val="008D2954"/>
    <w:rsid w:val="008E1EA6"/>
    <w:rsid w:val="009038DC"/>
    <w:rsid w:val="00906B00"/>
    <w:rsid w:val="009076AE"/>
    <w:rsid w:val="009128DE"/>
    <w:rsid w:val="00917FE7"/>
    <w:rsid w:val="00933AFD"/>
    <w:rsid w:val="009519C4"/>
    <w:rsid w:val="00977942"/>
    <w:rsid w:val="00987358"/>
    <w:rsid w:val="00987C7F"/>
    <w:rsid w:val="009B7E52"/>
    <w:rsid w:val="009E3FE2"/>
    <w:rsid w:val="009F3669"/>
    <w:rsid w:val="00A06C2C"/>
    <w:rsid w:val="00A07397"/>
    <w:rsid w:val="00A416B3"/>
    <w:rsid w:val="00A47203"/>
    <w:rsid w:val="00A516A7"/>
    <w:rsid w:val="00A53084"/>
    <w:rsid w:val="00A64ED8"/>
    <w:rsid w:val="00A747F1"/>
    <w:rsid w:val="00A800EC"/>
    <w:rsid w:val="00A86577"/>
    <w:rsid w:val="00A95A34"/>
    <w:rsid w:val="00A96C3B"/>
    <w:rsid w:val="00AC5B2D"/>
    <w:rsid w:val="00AD0ABC"/>
    <w:rsid w:val="00AD0C3F"/>
    <w:rsid w:val="00AF3D7F"/>
    <w:rsid w:val="00B1231A"/>
    <w:rsid w:val="00B14650"/>
    <w:rsid w:val="00B147DC"/>
    <w:rsid w:val="00B219DA"/>
    <w:rsid w:val="00B314BB"/>
    <w:rsid w:val="00B32687"/>
    <w:rsid w:val="00B4072D"/>
    <w:rsid w:val="00B42015"/>
    <w:rsid w:val="00B535E6"/>
    <w:rsid w:val="00B53654"/>
    <w:rsid w:val="00B54795"/>
    <w:rsid w:val="00B6098B"/>
    <w:rsid w:val="00B64A54"/>
    <w:rsid w:val="00B65CA4"/>
    <w:rsid w:val="00B7139F"/>
    <w:rsid w:val="00B856B3"/>
    <w:rsid w:val="00B862E3"/>
    <w:rsid w:val="00B9258C"/>
    <w:rsid w:val="00BA6E66"/>
    <w:rsid w:val="00BB589B"/>
    <w:rsid w:val="00BB7781"/>
    <w:rsid w:val="00BC2068"/>
    <w:rsid w:val="00BC78E2"/>
    <w:rsid w:val="00BD5BAD"/>
    <w:rsid w:val="00C113D4"/>
    <w:rsid w:val="00C130A3"/>
    <w:rsid w:val="00C2003A"/>
    <w:rsid w:val="00C34444"/>
    <w:rsid w:val="00C408F4"/>
    <w:rsid w:val="00C44996"/>
    <w:rsid w:val="00C45140"/>
    <w:rsid w:val="00C50E1C"/>
    <w:rsid w:val="00C65F22"/>
    <w:rsid w:val="00C92B6A"/>
    <w:rsid w:val="00C960C5"/>
    <w:rsid w:val="00CA2CF1"/>
    <w:rsid w:val="00CA3C8F"/>
    <w:rsid w:val="00CA420E"/>
    <w:rsid w:val="00CA5904"/>
    <w:rsid w:val="00CC12D4"/>
    <w:rsid w:val="00CD0EC8"/>
    <w:rsid w:val="00CD0F82"/>
    <w:rsid w:val="00CD4B2D"/>
    <w:rsid w:val="00CE14CA"/>
    <w:rsid w:val="00CE73F9"/>
    <w:rsid w:val="00D162B7"/>
    <w:rsid w:val="00D214FB"/>
    <w:rsid w:val="00D263B2"/>
    <w:rsid w:val="00D375E1"/>
    <w:rsid w:val="00D4076D"/>
    <w:rsid w:val="00D557E5"/>
    <w:rsid w:val="00D63BDD"/>
    <w:rsid w:val="00D66261"/>
    <w:rsid w:val="00D70E22"/>
    <w:rsid w:val="00D73997"/>
    <w:rsid w:val="00D834A7"/>
    <w:rsid w:val="00D8526E"/>
    <w:rsid w:val="00D867CD"/>
    <w:rsid w:val="00D95DC5"/>
    <w:rsid w:val="00DB2CDC"/>
    <w:rsid w:val="00DB58AD"/>
    <w:rsid w:val="00DE41A0"/>
    <w:rsid w:val="00DF6FEE"/>
    <w:rsid w:val="00E16510"/>
    <w:rsid w:val="00E2625C"/>
    <w:rsid w:val="00E27738"/>
    <w:rsid w:val="00E37859"/>
    <w:rsid w:val="00E4716D"/>
    <w:rsid w:val="00E53B4E"/>
    <w:rsid w:val="00E5543D"/>
    <w:rsid w:val="00E5799D"/>
    <w:rsid w:val="00E63F9D"/>
    <w:rsid w:val="00E71D1F"/>
    <w:rsid w:val="00E965E2"/>
    <w:rsid w:val="00EA106D"/>
    <w:rsid w:val="00EA417C"/>
    <w:rsid w:val="00EB38F9"/>
    <w:rsid w:val="00ED0B4C"/>
    <w:rsid w:val="00ED15E9"/>
    <w:rsid w:val="00ED4A36"/>
    <w:rsid w:val="00EF14CD"/>
    <w:rsid w:val="00EF366B"/>
    <w:rsid w:val="00EF6065"/>
    <w:rsid w:val="00F27CD3"/>
    <w:rsid w:val="00F32A92"/>
    <w:rsid w:val="00F36DFC"/>
    <w:rsid w:val="00F439F1"/>
    <w:rsid w:val="00F45F16"/>
    <w:rsid w:val="00F60884"/>
    <w:rsid w:val="00F61FF0"/>
    <w:rsid w:val="00F629DE"/>
    <w:rsid w:val="00F81F9C"/>
    <w:rsid w:val="00F82BE0"/>
    <w:rsid w:val="00F926DE"/>
    <w:rsid w:val="00F9304B"/>
    <w:rsid w:val="00FA2A0D"/>
    <w:rsid w:val="00FB07D6"/>
    <w:rsid w:val="00FB22BC"/>
    <w:rsid w:val="00FB421E"/>
    <w:rsid w:val="00FC39EC"/>
    <w:rsid w:val="00FC3B22"/>
    <w:rsid w:val="00FD5099"/>
    <w:rsid w:val="00FD65A2"/>
    <w:rsid w:val="00FF17FC"/>
    <w:rsid w:val="00FF3668"/>
    <w:rsid w:val="07DE60E9"/>
    <w:rsid w:val="07EF83F4"/>
    <w:rsid w:val="0AFF2122"/>
    <w:rsid w:val="0AFF75C3"/>
    <w:rsid w:val="17F1B7F7"/>
    <w:rsid w:val="1B7F980D"/>
    <w:rsid w:val="1BE69961"/>
    <w:rsid w:val="1BEF35C2"/>
    <w:rsid w:val="1CCFFA93"/>
    <w:rsid w:val="1CDF8379"/>
    <w:rsid w:val="1DBEC714"/>
    <w:rsid w:val="1DFB0F23"/>
    <w:rsid w:val="1EFB98C1"/>
    <w:rsid w:val="1F3F1D84"/>
    <w:rsid w:val="1FF77CA0"/>
    <w:rsid w:val="25BB5D13"/>
    <w:rsid w:val="27CF7F40"/>
    <w:rsid w:val="2B2A1830"/>
    <w:rsid w:val="2B8F1D54"/>
    <w:rsid w:val="2C6F4D1C"/>
    <w:rsid w:val="2E1F8DEF"/>
    <w:rsid w:val="2FF8B392"/>
    <w:rsid w:val="33F1F605"/>
    <w:rsid w:val="37AF18D8"/>
    <w:rsid w:val="38EE2613"/>
    <w:rsid w:val="39BC2E78"/>
    <w:rsid w:val="39DF4F30"/>
    <w:rsid w:val="3B7F9657"/>
    <w:rsid w:val="3BB5C095"/>
    <w:rsid w:val="3BEB0631"/>
    <w:rsid w:val="3CA77CF1"/>
    <w:rsid w:val="3D7BB58B"/>
    <w:rsid w:val="3D7F5A76"/>
    <w:rsid w:val="3DAB78D0"/>
    <w:rsid w:val="3DC5DF83"/>
    <w:rsid w:val="3DD5E422"/>
    <w:rsid w:val="3E6FB7AE"/>
    <w:rsid w:val="3E7F07D5"/>
    <w:rsid w:val="3E979FC2"/>
    <w:rsid w:val="3F3F99E7"/>
    <w:rsid w:val="3F550DE6"/>
    <w:rsid w:val="3FAF49CB"/>
    <w:rsid w:val="3FBF78FD"/>
    <w:rsid w:val="3FDFEC95"/>
    <w:rsid w:val="3FF22701"/>
    <w:rsid w:val="3FFEBFF4"/>
    <w:rsid w:val="3FFF0485"/>
    <w:rsid w:val="3FFF77AA"/>
    <w:rsid w:val="3FFF9909"/>
    <w:rsid w:val="3FFFCCAA"/>
    <w:rsid w:val="46BD629F"/>
    <w:rsid w:val="4973B8FA"/>
    <w:rsid w:val="499B0E95"/>
    <w:rsid w:val="4A7F2F6B"/>
    <w:rsid w:val="4CAED208"/>
    <w:rsid w:val="4ECD9A45"/>
    <w:rsid w:val="4F2E3ABA"/>
    <w:rsid w:val="4F95D503"/>
    <w:rsid w:val="4FB79D7A"/>
    <w:rsid w:val="4FBFC60A"/>
    <w:rsid w:val="4FFE9561"/>
    <w:rsid w:val="4FFF5A6F"/>
    <w:rsid w:val="5195AD89"/>
    <w:rsid w:val="51F998A9"/>
    <w:rsid w:val="56FE3EB0"/>
    <w:rsid w:val="57F55F09"/>
    <w:rsid w:val="57FDF5AC"/>
    <w:rsid w:val="57FFD424"/>
    <w:rsid w:val="58FF9C0E"/>
    <w:rsid w:val="59CF37D0"/>
    <w:rsid w:val="59DF69D1"/>
    <w:rsid w:val="5ABF6680"/>
    <w:rsid w:val="5BAF751B"/>
    <w:rsid w:val="5BBE0EA5"/>
    <w:rsid w:val="5BDFADEA"/>
    <w:rsid w:val="5BEF545A"/>
    <w:rsid w:val="5BFDC10C"/>
    <w:rsid w:val="5BFEEFCF"/>
    <w:rsid w:val="5C6EB29E"/>
    <w:rsid w:val="5C8567B7"/>
    <w:rsid w:val="5CFF19DD"/>
    <w:rsid w:val="5D7C54AD"/>
    <w:rsid w:val="5DFB4964"/>
    <w:rsid w:val="5DFB8C98"/>
    <w:rsid w:val="5E9B7101"/>
    <w:rsid w:val="5F39CE33"/>
    <w:rsid w:val="5F75EED2"/>
    <w:rsid w:val="5F7E1ECE"/>
    <w:rsid w:val="5FDFF443"/>
    <w:rsid w:val="5FEA02E2"/>
    <w:rsid w:val="5FF6060C"/>
    <w:rsid w:val="5FFB0CA5"/>
    <w:rsid w:val="5FFC4603"/>
    <w:rsid w:val="5FFCFD7C"/>
    <w:rsid w:val="5FFD3DBB"/>
    <w:rsid w:val="5FFE4041"/>
    <w:rsid w:val="5FFE4B1A"/>
    <w:rsid w:val="5FFF1931"/>
    <w:rsid w:val="61EFAFF0"/>
    <w:rsid w:val="63739B31"/>
    <w:rsid w:val="642D1F38"/>
    <w:rsid w:val="67A55514"/>
    <w:rsid w:val="67BD9735"/>
    <w:rsid w:val="67E6B3A7"/>
    <w:rsid w:val="67E7B684"/>
    <w:rsid w:val="6974A213"/>
    <w:rsid w:val="6ABDAE94"/>
    <w:rsid w:val="6B69CFC3"/>
    <w:rsid w:val="6BB7BA57"/>
    <w:rsid w:val="6BBD767F"/>
    <w:rsid w:val="6BBFA03B"/>
    <w:rsid w:val="6BFF3CC8"/>
    <w:rsid w:val="6C2EA9FC"/>
    <w:rsid w:val="6C7B82D5"/>
    <w:rsid w:val="6D5D1FAE"/>
    <w:rsid w:val="6DF3F505"/>
    <w:rsid w:val="6F3FF852"/>
    <w:rsid w:val="6F9F6C03"/>
    <w:rsid w:val="6FA19AD1"/>
    <w:rsid w:val="6FBBC34D"/>
    <w:rsid w:val="6FBE73BF"/>
    <w:rsid w:val="6FED2AA6"/>
    <w:rsid w:val="6FEEEC8F"/>
    <w:rsid w:val="72AE02FC"/>
    <w:rsid w:val="7315D5B6"/>
    <w:rsid w:val="733F108B"/>
    <w:rsid w:val="73FF7283"/>
    <w:rsid w:val="743BB672"/>
    <w:rsid w:val="7496A5F3"/>
    <w:rsid w:val="759F58E5"/>
    <w:rsid w:val="75F76682"/>
    <w:rsid w:val="75FCD0CE"/>
    <w:rsid w:val="767EE5C3"/>
    <w:rsid w:val="769AE3EF"/>
    <w:rsid w:val="76FCB0F6"/>
    <w:rsid w:val="777D2A99"/>
    <w:rsid w:val="777E71BD"/>
    <w:rsid w:val="77A76D91"/>
    <w:rsid w:val="77DEBEEB"/>
    <w:rsid w:val="77EA2206"/>
    <w:rsid w:val="77EFABB7"/>
    <w:rsid w:val="77F52B8D"/>
    <w:rsid w:val="797B9C7A"/>
    <w:rsid w:val="79D1F7EA"/>
    <w:rsid w:val="79EDF85A"/>
    <w:rsid w:val="7A2B773F"/>
    <w:rsid w:val="7A7F42EC"/>
    <w:rsid w:val="7ADF5177"/>
    <w:rsid w:val="7AEE1778"/>
    <w:rsid w:val="7AFE8382"/>
    <w:rsid w:val="7B7B6778"/>
    <w:rsid w:val="7B7BDE1D"/>
    <w:rsid w:val="7B9D79CF"/>
    <w:rsid w:val="7B9F99DB"/>
    <w:rsid w:val="7BAF87F5"/>
    <w:rsid w:val="7BD7AC0E"/>
    <w:rsid w:val="7BE5564D"/>
    <w:rsid w:val="7BFB9D28"/>
    <w:rsid w:val="7BFE6CBD"/>
    <w:rsid w:val="7BFF7CBA"/>
    <w:rsid w:val="7C9FEF29"/>
    <w:rsid w:val="7CCD3E21"/>
    <w:rsid w:val="7CEA591A"/>
    <w:rsid w:val="7CEE7E80"/>
    <w:rsid w:val="7D3B51D9"/>
    <w:rsid w:val="7D6D9F51"/>
    <w:rsid w:val="7D9F1086"/>
    <w:rsid w:val="7DBF3D70"/>
    <w:rsid w:val="7DD75F1E"/>
    <w:rsid w:val="7DEFEB01"/>
    <w:rsid w:val="7DF504E8"/>
    <w:rsid w:val="7DFA71C7"/>
    <w:rsid w:val="7DFD2FD6"/>
    <w:rsid w:val="7DFDE705"/>
    <w:rsid w:val="7DFF8922"/>
    <w:rsid w:val="7E5F7CFE"/>
    <w:rsid w:val="7E7746A3"/>
    <w:rsid w:val="7EAE109A"/>
    <w:rsid w:val="7EBF25BF"/>
    <w:rsid w:val="7EBFD182"/>
    <w:rsid w:val="7EDE1D45"/>
    <w:rsid w:val="7EEEE297"/>
    <w:rsid w:val="7F399812"/>
    <w:rsid w:val="7F3E1372"/>
    <w:rsid w:val="7F5BF85F"/>
    <w:rsid w:val="7F7FB9A4"/>
    <w:rsid w:val="7F9FE990"/>
    <w:rsid w:val="7FAFE9D0"/>
    <w:rsid w:val="7FB7B169"/>
    <w:rsid w:val="7FBD1562"/>
    <w:rsid w:val="7FBF963C"/>
    <w:rsid w:val="7FCFB338"/>
    <w:rsid w:val="7FD3BA29"/>
    <w:rsid w:val="7FDB5E1D"/>
    <w:rsid w:val="7FDF159E"/>
    <w:rsid w:val="7FE5DBBA"/>
    <w:rsid w:val="7FEF2795"/>
    <w:rsid w:val="7FEFAB2A"/>
    <w:rsid w:val="7FF6EAF1"/>
    <w:rsid w:val="7FF94AC9"/>
    <w:rsid w:val="7FFBD295"/>
    <w:rsid w:val="7FFD0777"/>
    <w:rsid w:val="7FFFC3D1"/>
    <w:rsid w:val="8799A97F"/>
    <w:rsid w:val="87F3FE8F"/>
    <w:rsid w:val="8C7F2004"/>
    <w:rsid w:val="8FAEB2F6"/>
    <w:rsid w:val="97DE813C"/>
    <w:rsid w:val="9BBFB621"/>
    <w:rsid w:val="9DBE394A"/>
    <w:rsid w:val="9DBFD66A"/>
    <w:rsid w:val="9E9F7311"/>
    <w:rsid w:val="9F7FAFE5"/>
    <w:rsid w:val="9FD33A26"/>
    <w:rsid w:val="9FF62742"/>
    <w:rsid w:val="9FFB75C6"/>
    <w:rsid w:val="9FFD474D"/>
    <w:rsid w:val="9FFFF535"/>
    <w:rsid w:val="A7FB73BE"/>
    <w:rsid w:val="A8AEF9CC"/>
    <w:rsid w:val="AAA631CE"/>
    <w:rsid w:val="ABE77CC3"/>
    <w:rsid w:val="ABEBB791"/>
    <w:rsid w:val="AFEE3640"/>
    <w:rsid w:val="AFFFBBEC"/>
    <w:rsid w:val="B36D6811"/>
    <w:rsid w:val="B377FD28"/>
    <w:rsid w:val="B3BBAEFC"/>
    <w:rsid w:val="B3E862BE"/>
    <w:rsid w:val="B4D81BC5"/>
    <w:rsid w:val="B57FCF22"/>
    <w:rsid w:val="B69EEA38"/>
    <w:rsid w:val="B76FB24C"/>
    <w:rsid w:val="B7CFAC03"/>
    <w:rsid w:val="B7EF27A3"/>
    <w:rsid w:val="B7EFC4CB"/>
    <w:rsid w:val="B7FF94EE"/>
    <w:rsid w:val="B8FEE40E"/>
    <w:rsid w:val="B8FF78B4"/>
    <w:rsid w:val="B977022A"/>
    <w:rsid w:val="B9A85180"/>
    <w:rsid w:val="BA26CACC"/>
    <w:rsid w:val="BABF979B"/>
    <w:rsid w:val="BAFFC0F2"/>
    <w:rsid w:val="BB2754F5"/>
    <w:rsid w:val="BB3B8035"/>
    <w:rsid w:val="BBD7EA13"/>
    <w:rsid w:val="BBEF27AF"/>
    <w:rsid w:val="BD771725"/>
    <w:rsid w:val="BDFB0D85"/>
    <w:rsid w:val="BEA78EAD"/>
    <w:rsid w:val="BF5FA055"/>
    <w:rsid w:val="BFB79AC0"/>
    <w:rsid w:val="BFBAD403"/>
    <w:rsid w:val="BFEBE9AD"/>
    <w:rsid w:val="BFF79F3B"/>
    <w:rsid w:val="BFFE41CE"/>
    <w:rsid w:val="BFFF30C8"/>
    <w:rsid w:val="C19FE6F9"/>
    <w:rsid w:val="C5AFAB81"/>
    <w:rsid w:val="C6F6ED9D"/>
    <w:rsid w:val="CB6C1F3B"/>
    <w:rsid w:val="CBE61AE1"/>
    <w:rsid w:val="CBF647CF"/>
    <w:rsid w:val="CD350169"/>
    <w:rsid w:val="CDF53E97"/>
    <w:rsid w:val="CDF789C7"/>
    <w:rsid w:val="CDFDC723"/>
    <w:rsid w:val="CE1FC6E4"/>
    <w:rsid w:val="CEFF74CE"/>
    <w:rsid w:val="CFBE994E"/>
    <w:rsid w:val="CFDF67F1"/>
    <w:rsid w:val="D1E7A146"/>
    <w:rsid w:val="D4CF1A49"/>
    <w:rsid w:val="D5DB8BBD"/>
    <w:rsid w:val="D5DBB1AE"/>
    <w:rsid w:val="D6EFB2B2"/>
    <w:rsid w:val="D767BD85"/>
    <w:rsid w:val="D7A98968"/>
    <w:rsid w:val="D7B76FF5"/>
    <w:rsid w:val="D7F59066"/>
    <w:rsid w:val="D7FF0F6B"/>
    <w:rsid w:val="DAF1E290"/>
    <w:rsid w:val="DCF07480"/>
    <w:rsid w:val="DCFEEE5C"/>
    <w:rsid w:val="DD7F6163"/>
    <w:rsid w:val="DD98982E"/>
    <w:rsid w:val="DDFEF947"/>
    <w:rsid w:val="DE6D2B66"/>
    <w:rsid w:val="DEE59B2C"/>
    <w:rsid w:val="DEFEF3B5"/>
    <w:rsid w:val="DF1FA76B"/>
    <w:rsid w:val="DF7F3C29"/>
    <w:rsid w:val="DFB36765"/>
    <w:rsid w:val="DFEF308C"/>
    <w:rsid w:val="DFF24070"/>
    <w:rsid w:val="E4F8968D"/>
    <w:rsid w:val="E5BD0CE4"/>
    <w:rsid w:val="E5F31DA5"/>
    <w:rsid w:val="E6BDC4B8"/>
    <w:rsid w:val="E7471C0A"/>
    <w:rsid w:val="E7766BA5"/>
    <w:rsid w:val="E77F6EF5"/>
    <w:rsid w:val="E92DAC8A"/>
    <w:rsid w:val="EAC3BB17"/>
    <w:rsid w:val="EB7F7DA7"/>
    <w:rsid w:val="EBBF1414"/>
    <w:rsid w:val="EBF2E1CC"/>
    <w:rsid w:val="ECF7E7AF"/>
    <w:rsid w:val="ED7E59E1"/>
    <w:rsid w:val="EDBEDB2F"/>
    <w:rsid w:val="EDFB76A1"/>
    <w:rsid w:val="EEEE1815"/>
    <w:rsid w:val="EEEF13B6"/>
    <w:rsid w:val="EEF700E3"/>
    <w:rsid w:val="EEFEC3B2"/>
    <w:rsid w:val="EEFF118E"/>
    <w:rsid w:val="EF9191C6"/>
    <w:rsid w:val="EF9FC199"/>
    <w:rsid w:val="EFAB069A"/>
    <w:rsid w:val="EFB96890"/>
    <w:rsid w:val="EFBBAD1B"/>
    <w:rsid w:val="EFD7820B"/>
    <w:rsid w:val="EFE5E963"/>
    <w:rsid w:val="EFE94466"/>
    <w:rsid w:val="EFF79A52"/>
    <w:rsid w:val="EFFE6F01"/>
    <w:rsid w:val="EFFEF416"/>
    <w:rsid w:val="F1FF281F"/>
    <w:rsid w:val="F46EB63C"/>
    <w:rsid w:val="F4FF9116"/>
    <w:rsid w:val="F556D08B"/>
    <w:rsid w:val="F5BB5DCC"/>
    <w:rsid w:val="F5DF4F41"/>
    <w:rsid w:val="F5FBEABA"/>
    <w:rsid w:val="F6BF058B"/>
    <w:rsid w:val="F6DFA5BE"/>
    <w:rsid w:val="F76B78FE"/>
    <w:rsid w:val="F7BF7F43"/>
    <w:rsid w:val="F7EBA953"/>
    <w:rsid w:val="F7F7F408"/>
    <w:rsid w:val="F7FE3770"/>
    <w:rsid w:val="F7FEB470"/>
    <w:rsid w:val="F7FF1CFA"/>
    <w:rsid w:val="F96E04B0"/>
    <w:rsid w:val="F9CF0053"/>
    <w:rsid w:val="F9FBF2BB"/>
    <w:rsid w:val="FAAF6699"/>
    <w:rsid w:val="FAF3464C"/>
    <w:rsid w:val="FB7BFF89"/>
    <w:rsid w:val="FBAF656A"/>
    <w:rsid w:val="FBEFECBD"/>
    <w:rsid w:val="FBFFFCB9"/>
    <w:rsid w:val="FC2960C5"/>
    <w:rsid w:val="FCE6F3BA"/>
    <w:rsid w:val="FD2E0C8F"/>
    <w:rsid w:val="FD4FA688"/>
    <w:rsid w:val="FD7F16D1"/>
    <w:rsid w:val="FDB947AF"/>
    <w:rsid w:val="FDBFDC3D"/>
    <w:rsid w:val="FE36FCDA"/>
    <w:rsid w:val="FE7C460C"/>
    <w:rsid w:val="FEAE51BE"/>
    <w:rsid w:val="FECF96D5"/>
    <w:rsid w:val="FEDD9619"/>
    <w:rsid w:val="FEDFDDB2"/>
    <w:rsid w:val="FEE9551C"/>
    <w:rsid w:val="FEEF615E"/>
    <w:rsid w:val="FEF791E2"/>
    <w:rsid w:val="FEF8B7E2"/>
    <w:rsid w:val="FEFF1AAD"/>
    <w:rsid w:val="FF271778"/>
    <w:rsid w:val="FF7AD75D"/>
    <w:rsid w:val="FF7FAAE2"/>
    <w:rsid w:val="FF8BA7EE"/>
    <w:rsid w:val="FF8FCC03"/>
    <w:rsid w:val="FF9E2996"/>
    <w:rsid w:val="FFC3876E"/>
    <w:rsid w:val="FFC72EFB"/>
    <w:rsid w:val="FFD70566"/>
    <w:rsid w:val="FFDEBEA5"/>
    <w:rsid w:val="FFE661B4"/>
    <w:rsid w:val="FFED6502"/>
    <w:rsid w:val="FFF3D6EB"/>
    <w:rsid w:val="FFF50377"/>
    <w:rsid w:val="FFF56E06"/>
    <w:rsid w:val="FFF7A480"/>
    <w:rsid w:val="FFFBDB2A"/>
    <w:rsid w:val="FFFEC3F5"/>
    <w:rsid w:val="FFFFF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3"/>
    <w:qFormat/>
    <w:uiPriority w:val="0"/>
    <w:pPr>
      <w:spacing w:after="0" w:line="600" w:lineRule="exact"/>
      <w:ind w:firstLine="420"/>
      <w:jc w:val="center"/>
    </w:pPr>
    <w:rPr>
      <w:bCs/>
      <w:sz w:val="32"/>
    </w:rPr>
  </w:style>
  <w:style w:type="paragraph" w:customStyle="1" w:styleId="3">
    <w:name w:val="UserStyle_1"/>
    <w:basedOn w:val="1"/>
    <w:qFormat/>
    <w:uiPriority w:val="0"/>
    <w:pPr>
      <w:spacing w:after="120"/>
      <w:textAlignment w:val="baseline"/>
    </w:pPr>
  </w:style>
  <w:style w:type="paragraph" w:styleId="4">
    <w:name w:val="Body Text"/>
    <w:basedOn w:val="1"/>
    <w:next w:val="1"/>
    <w:qFormat/>
    <w:uiPriority w:val="0"/>
    <w:pPr>
      <w:spacing w:after="120"/>
    </w:pPr>
  </w:style>
  <w:style w:type="paragraph" w:styleId="5">
    <w:name w:val="Body Text Indent"/>
    <w:basedOn w:val="1"/>
    <w:link w:val="23"/>
    <w:qFormat/>
    <w:uiPriority w:val="99"/>
    <w:pPr>
      <w:ind w:left="420" w:leftChars="200"/>
    </w:pPr>
  </w:style>
  <w:style w:type="paragraph" w:styleId="6">
    <w:name w:val="Block Text"/>
    <w:basedOn w:val="1"/>
    <w:unhideWhenUsed/>
    <w:qFormat/>
    <w:uiPriority w:val="99"/>
    <w:pPr>
      <w:widowControl/>
      <w:spacing w:after="120"/>
      <w:ind w:left="1440" w:leftChars="700" w:right="1440" w:rightChars="700"/>
      <w:jc w:val="left"/>
    </w:pPr>
    <w:rPr>
      <w:rFonts w:ascii="Calibri" w:hAnsi="Calibri" w:eastAsia="宋体" w:cs="Times New Roman"/>
    </w:rPr>
  </w:style>
  <w:style w:type="paragraph" w:styleId="7">
    <w:name w:val="Body Text Indent 2"/>
    <w:basedOn w:val="1"/>
    <w:qFormat/>
    <w:uiPriority w:val="99"/>
    <w:pPr>
      <w:spacing w:line="480" w:lineRule="auto"/>
      <w:ind w:left="420" w:leftChars="200"/>
    </w:pPr>
  </w:style>
  <w:style w:type="paragraph" w:styleId="8">
    <w:name w:val="Balloon Text"/>
    <w:basedOn w:val="1"/>
    <w:link w:val="29"/>
    <w:semiHidden/>
    <w:unhideWhenUsed/>
    <w:qFormat/>
    <w:uiPriority w:val="99"/>
    <w:rPr>
      <w:sz w:val="18"/>
      <w:szCs w:val="18"/>
    </w:rPr>
  </w:style>
  <w:style w:type="paragraph" w:styleId="9">
    <w:name w:val="footer"/>
    <w:basedOn w:val="1"/>
    <w:link w:val="28"/>
    <w:unhideWhenUsed/>
    <w:qFormat/>
    <w:uiPriority w:val="99"/>
    <w:pPr>
      <w:tabs>
        <w:tab w:val="center" w:pos="4153"/>
        <w:tab w:val="right" w:pos="8306"/>
      </w:tabs>
      <w:snapToGrid w:val="0"/>
      <w:jc w:val="left"/>
    </w:pPr>
    <w:rPr>
      <w:sz w:val="18"/>
      <w:szCs w:val="18"/>
    </w:rPr>
  </w:style>
  <w:style w:type="paragraph" w:styleId="10">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next w:val="4"/>
    <w:qFormat/>
    <w:uiPriority w:val="0"/>
    <w:pPr>
      <w:jc w:val="center"/>
    </w:pPr>
    <w:rPr>
      <w:rFonts w:ascii="方正大标宋简体" w:eastAsia="方正大标宋简体"/>
      <w:sz w:val="44"/>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Body Text First Indent"/>
    <w:basedOn w:val="4"/>
    <w:next w:val="14"/>
    <w:unhideWhenUsed/>
    <w:qFormat/>
    <w:uiPriority w:val="0"/>
    <w:pPr>
      <w:tabs>
        <w:tab w:val="right" w:pos="9070"/>
      </w:tabs>
      <w:spacing w:after="0"/>
      <w:ind w:firstLine="420"/>
    </w:pPr>
    <w:rPr>
      <w:rFonts w:ascii="Times New Roman" w:hAnsi="Times New Roman" w:eastAsia="宋体" w:cs="Times New Roman"/>
      <w:sz w:val="32"/>
      <w:szCs w:val="24"/>
    </w:rPr>
  </w:style>
  <w:style w:type="paragraph" w:styleId="14">
    <w:name w:val="Body Text First Indent 2"/>
    <w:basedOn w:val="5"/>
    <w:next w:val="1"/>
    <w:link w:val="24"/>
    <w:qFormat/>
    <w:uiPriority w:val="99"/>
    <w:pPr>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bCs/>
    </w:rPr>
  </w:style>
  <w:style w:type="character" w:styleId="19">
    <w:name w:val="Emphasis"/>
    <w:basedOn w:val="17"/>
    <w:qFormat/>
    <w:uiPriority w:val="0"/>
    <w:rPr>
      <w:color w:val="CC0000"/>
    </w:rPr>
  </w:style>
  <w:style w:type="paragraph" w:customStyle="1" w:styleId="20">
    <w:name w:val="Default"/>
    <w:basedOn w:val="1"/>
    <w:qFormat/>
    <w:uiPriority w:val="99"/>
    <w:pPr>
      <w:autoSpaceDE w:val="0"/>
      <w:autoSpaceDN w:val="0"/>
      <w:adjustRightInd w:val="0"/>
      <w:jc w:val="left"/>
    </w:pPr>
    <w:rPr>
      <w:rFonts w:ascii="??_GB2312" w:eastAsia="Times New Roman" w:cs="??_GB2312"/>
      <w:color w:val="000000"/>
      <w:kern w:val="0"/>
      <w:sz w:val="24"/>
      <w:szCs w:val="24"/>
    </w:rPr>
  </w:style>
  <w:style w:type="paragraph" w:customStyle="1" w:styleId="21">
    <w:name w:val="BodyText1I2"/>
    <w:basedOn w:val="22"/>
    <w:qFormat/>
    <w:uiPriority w:val="0"/>
    <w:pPr>
      <w:spacing w:after="120" w:afterLines="0" w:line="240" w:lineRule="auto"/>
      <w:ind w:left="420" w:leftChars="200" w:firstLine="420" w:firstLineChars="200"/>
      <w:jc w:val="both"/>
    </w:pPr>
  </w:style>
  <w:style w:type="paragraph" w:customStyle="1" w:styleId="22">
    <w:name w:val="BodyTextIndent"/>
    <w:basedOn w:val="1"/>
    <w:qFormat/>
    <w:uiPriority w:val="0"/>
    <w:pPr>
      <w:spacing w:after="120" w:afterLines="0" w:line="240" w:lineRule="auto"/>
      <w:ind w:left="420" w:leftChars="200"/>
      <w:jc w:val="both"/>
    </w:pPr>
  </w:style>
  <w:style w:type="character" w:customStyle="1" w:styleId="23">
    <w:name w:val="正文文本缩进 Char"/>
    <w:basedOn w:val="17"/>
    <w:link w:val="5"/>
    <w:qFormat/>
    <w:uiPriority w:val="99"/>
    <w:rPr>
      <w:rFonts w:ascii="Calibri" w:hAnsi="Calibri"/>
      <w:kern w:val="2"/>
      <w:sz w:val="21"/>
      <w:szCs w:val="22"/>
    </w:rPr>
  </w:style>
  <w:style w:type="character" w:customStyle="1" w:styleId="24">
    <w:name w:val="正文首行缩进 2 Char"/>
    <w:basedOn w:val="23"/>
    <w:link w:val="14"/>
    <w:qFormat/>
    <w:uiPriority w:val="99"/>
  </w:style>
  <w:style w:type="paragraph" w:customStyle="1" w:styleId="25">
    <w:name w:val="BodyText"/>
    <w:basedOn w:val="1"/>
    <w:next w:val="1"/>
    <w:qFormat/>
    <w:uiPriority w:val="0"/>
    <w:pPr>
      <w:spacing w:after="120"/>
    </w:pPr>
    <w:rPr>
      <w:rFonts w:ascii="Times New Roman" w:hAnsi="Times New Roman" w:eastAsia="仿宋_GB2312"/>
      <w:sz w:val="32"/>
      <w:szCs w:val="32"/>
    </w:rPr>
  </w:style>
  <w:style w:type="paragraph" w:customStyle="1" w:styleId="26">
    <w:name w:val="BodyText2"/>
    <w:basedOn w:val="1"/>
    <w:qFormat/>
    <w:uiPriority w:val="0"/>
    <w:pPr>
      <w:spacing w:after="120" w:line="480" w:lineRule="auto"/>
    </w:pPr>
  </w:style>
  <w:style w:type="character" w:customStyle="1" w:styleId="27">
    <w:name w:val="页眉 Char"/>
    <w:basedOn w:val="17"/>
    <w:link w:val="10"/>
    <w:semiHidden/>
    <w:qFormat/>
    <w:uiPriority w:val="99"/>
    <w:rPr>
      <w:rFonts w:ascii="Calibri" w:hAnsi="Calibri"/>
      <w:kern w:val="2"/>
      <w:sz w:val="18"/>
      <w:szCs w:val="18"/>
    </w:rPr>
  </w:style>
  <w:style w:type="character" w:customStyle="1" w:styleId="28">
    <w:name w:val="页脚 Char"/>
    <w:basedOn w:val="17"/>
    <w:link w:val="9"/>
    <w:qFormat/>
    <w:uiPriority w:val="99"/>
    <w:rPr>
      <w:rFonts w:ascii="Calibri" w:hAnsi="Calibri"/>
      <w:kern w:val="2"/>
      <w:sz w:val="18"/>
      <w:szCs w:val="18"/>
    </w:rPr>
  </w:style>
  <w:style w:type="character" w:customStyle="1" w:styleId="29">
    <w:name w:val="批注框文本 Char"/>
    <w:basedOn w:val="17"/>
    <w:link w:val="8"/>
    <w:semiHidden/>
    <w:qFormat/>
    <w:uiPriority w:val="99"/>
    <w:rPr>
      <w:rFonts w:ascii="Calibri" w:hAnsi="Calibri"/>
      <w:kern w:val="2"/>
      <w:sz w:val="18"/>
      <w:szCs w:val="18"/>
    </w:rPr>
  </w:style>
  <w:style w:type="character" w:customStyle="1" w:styleId="30">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1211</Words>
  <Characters>6905</Characters>
  <Lines>57</Lines>
  <Paragraphs>16</Paragraphs>
  <TotalTime>18</TotalTime>
  <ScaleCrop>false</ScaleCrop>
  <LinksUpToDate>false</LinksUpToDate>
  <CharactersWithSpaces>8100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2021-11-16T07:00:00Z</dcterms:created>
  <dc:creator>Administrator</dc:creator>
  <cp:lastModifiedBy>administrator</cp:lastModifiedBy>
  <cp:lastPrinted>2022-03-05T02:34:00Z</cp:lastPrinted>
  <dcterms:modified xsi:type="dcterms:W3CDTF">2023-03-17T15:20:25Z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